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27FB9">
      <w:pPr>
        <w:tabs>
          <w:tab w:val="left" w:leader="dot" w:pos="8420"/>
        </w:tabs>
        <w:spacing w:line="360" w:lineRule="auto"/>
        <w:rPr>
          <w:rFonts w:hint="eastAsia" w:ascii="宋体" w:hAnsi="宋体"/>
          <w:color w:val="auto"/>
          <w:highlight w:val="none"/>
        </w:rPr>
      </w:pPr>
      <w:bookmarkStart w:id="147" w:name="_GoBack"/>
    </w:p>
    <w:p w14:paraId="3B27B0A4">
      <w:pPr>
        <w:jc w:val="right"/>
        <w:rPr>
          <w:rFonts w:hint="eastAsia" w:ascii="宋体" w:hAnsi="宋体" w:cs="宋体"/>
          <w:color w:val="auto"/>
          <w:kern w:val="0"/>
          <w:sz w:val="36"/>
          <w:highlight w:val="none"/>
        </w:rPr>
      </w:pPr>
      <w:r>
        <w:rPr>
          <w:rFonts w:hint="eastAsia" w:ascii="宋体" w:hAnsi="宋体" w:eastAsia="宋体" w:cs="宋体"/>
          <w:color w:val="auto"/>
          <w:kern w:val="0"/>
          <w:sz w:val="36"/>
          <w:highlight w:val="none"/>
          <w:lang w:eastAsia="zh-CN"/>
        </w:rPr>
        <w:t>JSZCZC2025025</w:t>
      </w:r>
      <w:r>
        <w:rPr>
          <w:rFonts w:hint="eastAsia" w:ascii="宋体" w:hAnsi="宋体" w:cs="宋体"/>
          <w:color w:val="auto"/>
          <w:kern w:val="0"/>
          <w:sz w:val="36"/>
          <w:highlight w:val="none"/>
        </w:rPr>
        <w:t>号</w:t>
      </w:r>
    </w:p>
    <w:p w14:paraId="4459F3F0">
      <w:pPr>
        <w:rPr>
          <w:rFonts w:hint="eastAsia" w:ascii="宋体" w:hAnsi="宋体" w:cs="宋体"/>
          <w:b/>
          <w:bCs/>
          <w:color w:val="auto"/>
          <w:kern w:val="0"/>
          <w:sz w:val="44"/>
          <w:szCs w:val="44"/>
          <w:highlight w:val="none"/>
        </w:rPr>
      </w:pPr>
    </w:p>
    <w:p w14:paraId="27503798">
      <w:pPr>
        <w:pStyle w:val="2"/>
        <w:rPr>
          <w:rFonts w:hint="eastAsia" w:ascii="宋体" w:hAnsi="宋体" w:cs="宋体"/>
          <w:b/>
          <w:bCs/>
          <w:color w:val="auto"/>
          <w:kern w:val="0"/>
          <w:sz w:val="44"/>
          <w:szCs w:val="44"/>
          <w:highlight w:val="none"/>
        </w:rPr>
      </w:pPr>
    </w:p>
    <w:p w14:paraId="20CF3F11">
      <w:pPr>
        <w:pStyle w:val="3"/>
        <w:rPr>
          <w:rFonts w:hint="eastAsia"/>
          <w:color w:val="auto"/>
          <w:highlight w:val="none"/>
        </w:rPr>
      </w:pPr>
    </w:p>
    <w:p w14:paraId="7766B7AD">
      <w:pPr>
        <w:pStyle w:val="3"/>
        <w:rPr>
          <w:rFonts w:hint="eastAsia"/>
          <w:color w:val="auto"/>
          <w:highlight w:val="none"/>
        </w:rPr>
      </w:pPr>
    </w:p>
    <w:p w14:paraId="7701DAA9">
      <w:pPr>
        <w:pStyle w:val="10"/>
        <w:jc w:val="center"/>
        <w:rPr>
          <w:rFonts w:hint="eastAsia"/>
          <w:color w:val="auto"/>
          <w:sz w:val="52"/>
          <w:szCs w:val="52"/>
          <w:highlight w:val="none"/>
        </w:rPr>
      </w:pPr>
      <w:r>
        <w:rPr>
          <w:rFonts w:hint="eastAsia" w:ascii="宋体" w:hAnsi="宋体" w:eastAsia="宋体" w:cs="宋体"/>
          <w:color w:val="auto"/>
          <w:sz w:val="52"/>
          <w:szCs w:val="52"/>
          <w:highlight w:val="none"/>
          <w:lang w:eastAsia="zh-CN"/>
        </w:rPr>
        <w:t>2025-2026西花园</w:t>
      </w:r>
      <w:r>
        <w:rPr>
          <w:rFonts w:hint="eastAsia" w:ascii="宋体" w:hAnsi="宋体" w:eastAsia="宋体" w:cs="宋体"/>
          <w:color w:val="auto"/>
          <w:sz w:val="52"/>
          <w:szCs w:val="52"/>
          <w:highlight w:val="none"/>
          <w:lang w:val="en-US" w:eastAsia="zh-CN"/>
        </w:rPr>
        <w:t>北</w:t>
      </w:r>
      <w:r>
        <w:rPr>
          <w:rFonts w:hint="eastAsia" w:ascii="宋体" w:hAnsi="宋体" w:eastAsia="宋体" w:cs="宋体"/>
          <w:color w:val="auto"/>
          <w:sz w:val="52"/>
          <w:szCs w:val="52"/>
          <w:highlight w:val="none"/>
          <w:lang w:eastAsia="zh-CN"/>
        </w:rPr>
        <w:t>绿化养护工程</w:t>
      </w:r>
    </w:p>
    <w:p w14:paraId="15FE2D85">
      <w:pPr>
        <w:jc w:val="center"/>
        <w:rPr>
          <w:rFonts w:hint="eastAsia" w:ascii="宋体" w:hAnsi="宋体" w:cs="宋体"/>
          <w:b/>
          <w:color w:val="auto"/>
          <w:kern w:val="0"/>
          <w:sz w:val="72"/>
          <w:szCs w:val="72"/>
          <w:highlight w:val="none"/>
        </w:rPr>
      </w:pPr>
      <w:r>
        <w:rPr>
          <w:rFonts w:hint="eastAsia" w:ascii="宋体" w:hAnsi="宋体" w:cs="宋体"/>
          <w:b/>
          <w:color w:val="auto"/>
          <w:spacing w:val="100"/>
          <w:kern w:val="0"/>
          <w:sz w:val="72"/>
          <w:szCs w:val="72"/>
          <w:highlight w:val="none"/>
        </w:rPr>
        <w:t>竞争性磋商文</w:t>
      </w:r>
      <w:r>
        <w:rPr>
          <w:rFonts w:hint="eastAsia" w:ascii="宋体" w:hAnsi="宋体" w:cs="宋体"/>
          <w:b/>
          <w:color w:val="auto"/>
          <w:kern w:val="0"/>
          <w:sz w:val="72"/>
          <w:szCs w:val="72"/>
          <w:highlight w:val="none"/>
        </w:rPr>
        <w:t>件</w:t>
      </w:r>
    </w:p>
    <w:p w14:paraId="65D8B9C2">
      <w:pPr>
        <w:rPr>
          <w:rFonts w:hint="eastAsia" w:ascii="宋体" w:hAnsi="宋体" w:cs="宋体"/>
          <w:color w:val="auto"/>
          <w:kern w:val="0"/>
          <w:sz w:val="36"/>
          <w:highlight w:val="none"/>
        </w:rPr>
      </w:pPr>
    </w:p>
    <w:p w14:paraId="7460C08A">
      <w:pPr>
        <w:jc w:val="center"/>
        <w:rPr>
          <w:rFonts w:hint="eastAsia" w:ascii="宋体" w:hAnsi="宋体" w:cs="宋体"/>
          <w:color w:val="auto"/>
          <w:kern w:val="0"/>
          <w:sz w:val="36"/>
          <w:highlight w:val="none"/>
        </w:rPr>
      </w:pPr>
    </w:p>
    <w:p w14:paraId="23CA0EB8">
      <w:pPr>
        <w:jc w:val="center"/>
        <w:rPr>
          <w:rFonts w:hint="eastAsia" w:ascii="宋体" w:hAnsi="宋体" w:cs="宋体"/>
          <w:color w:val="auto"/>
          <w:kern w:val="0"/>
          <w:sz w:val="36"/>
          <w:highlight w:val="none"/>
        </w:rPr>
      </w:pPr>
    </w:p>
    <w:p w14:paraId="4B51D050">
      <w:pPr>
        <w:pStyle w:val="10"/>
        <w:rPr>
          <w:rFonts w:hint="eastAsia"/>
          <w:color w:val="auto"/>
          <w:highlight w:val="none"/>
        </w:rPr>
      </w:pPr>
    </w:p>
    <w:p w14:paraId="2AF40754">
      <w:pPr>
        <w:rPr>
          <w:rFonts w:hint="eastAsia"/>
          <w:color w:val="auto"/>
          <w:highlight w:val="none"/>
        </w:rPr>
      </w:pPr>
    </w:p>
    <w:p w14:paraId="017009F0">
      <w:pPr>
        <w:rPr>
          <w:rFonts w:hint="eastAsia" w:ascii="宋体" w:hAnsi="宋体" w:cs="宋体"/>
          <w:color w:val="auto"/>
          <w:kern w:val="0"/>
          <w:highlight w:val="none"/>
        </w:rPr>
      </w:pPr>
    </w:p>
    <w:p w14:paraId="4F44EBCB">
      <w:pPr>
        <w:pStyle w:val="2"/>
        <w:rPr>
          <w:rFonts w:hint="eastAsia" w:ascii="宋体" w:hAnsi="宋体" w:cs="宋体"/>
          <w:color w:val="auto"/>
          <w:kern w:val="0"/>
          <w:highlight w:val="none"/>
        </w:rPr>
      </w:pPr>
    </w:p>
    <w:p w14:paraId="28AD4BB1">
      <w:pPr>
        <w:pStyle w:val="3"/>
        <w:rPr>
          <w:rFonts w:hint="eastAsia" w:ascii="宋体" w:hAnsi="宋体" w:cs="宋体"/>
          <w:color w:val="auto"/>
          <w:kern w:val="0"/>
          <w:highlight w:val="none"/>
        </w:rPr>
      </w:pPr>
    </w:p>
    <w:p w14:paraId="18465C91">
      <w:pPr>
        <w:pStyle w:val="4"/>
        <w:rPr>
          <w:rFonts w:hint="eastAsia"/>
          <w:color w:val="auto"/>
          <w:highlight w:val="none"/>
        </w:rPr>
      </w:pPr>
    </w:p>
    <w:p w14:paraId="6639C5D7">
      <w:pPr>
        <w:pStyle w:val="2"/>
        <w:ind w:firstLine="420"/>
        <w:rPr>
          <w:rFonts w:hint="eastAsia" w:cs="宋体"/>
          <w:color w:val="auto"/>
          <w:kern w:val="0"/>
          <w:highlight w:val="none"/>
        </w:rPr>
      </w:pPr>
    </w:p>
    <w:p w14:paraId="23F19936">
      <w:pPr>
        <w:pStyle w:val="3"/>
        <w:rPr>
          <w:rFonts w:hint="eastAsia"/>
          <w:color w:val="auto"/>
          <w:highlight w:val="none"/>
        </w:rPr>
      </w:pPr>
    </w:p>
    <w:p w14:paraId="4B0D5A38">
      <w:pPr>
        <w:spacing w:line="360" w:lineRule="auto"/>
        <w:ind w:firstLine="1432" w:firstLineChars="495"/>
        <w:rPr>
          <w:rFonts w:hint="eastAsia" w:ascii="宋体" w:hAnsi="宋体" w:eastAsia="宋体" w:cs="宋体"/>
          <w:color w:val="auto"/>
          <w:highlight w:val="none"/>
          <w:lang w:eastAsia="zh-CN"/>
        </w:rPr>
      </w:pPr>
      <w:r>
        <w:rPr>
          <w:rFonts w:hint="eastAsia" w:ascii="宋体" w:hAnsi="宋体"/>
          <w:b/>
          <w:bCs/>
          <w:color w:val="auto"/>
          <w:w w:val="90"/>
          <w:kern w:val="0"/>
          <w:sz w:val="32"/>
          <w:szCs w:val="32"/>
          <w:highlight w:val="none"/>
        </w:rPr>
        <w:t>采  购  人：</w:t>
      </w:r>
      <w:r>
        <w:rPr>
          <w:rFonts w:hint="eastAsia" w:ascii="宋体" w:hAnsi="宋体" w:eastAsia="宋体" w:cs="Calibri"/>
          <w:b/>
          <w:bCs/>
          <w:color w:val="auto"/>
          <w:w w:val="90"/>
          <w:kern w:val="0"/>
          <w:sz w:val="32"/>
          <w:szCs w:val="32"/>
          <w:highlight w:val="none"/>
          <w:lang w:eastAsia="zh-CN"/>
        </w:rPr>
        <w:t>扬州维投经营管理有限公司</w:t>
      </w:r>
    </w:p>
    <w:p w14:paraId="45C38A61">
      <w:pPr>
        <w:spacing w:line="360" w:lineRule="auto"/>
        <w:ind w:firstLine="1432" w:firstLineChars="495"/>
        <w:rPr>
          <w:rFonts w:hint="eastAsia" w:ascii="宋体" w:hAnsi="宋体" w:eastAsia="宋体" w:cs="Calibri"/>
          <w:b/>
          <w:bCs/>
          <w:color w:val="auto"/>
          <w:w w:val="90"/>
          <w:kern w:val="0"/>
          <w:sz w:val="32"/>
          <w:szCs w:val="32"/>
          <w:highlight w:val="none"/>
        </w:rPr>
      </w:pPr>
      <w:r>
        <w:rPr>
          <w:rFonts w:hint="eastAsia" w:ascii="宋体" w:hAnsi="宋体"/>
          <w:b/>
          <w:bCs/>
          <w:color w:val="auto"/>
          <w:w w:val="90"/>
          <w:kern w:val="0"/>
          <w:sz w:val="32"/>
          <w:szCs w:val="32"/>
          <w:highlight w:val="none"/>
        </w:rPr>
        <w:t>采购代理机构(章)：</w:t>
      </w:r>
      <w:r>
        <w:rPr>
          <w:rFonts w:hint="eastAsia" w:ascii="宋体" w:hAnsi="宋体" w:eastAsia="宋体" w:cs="Calibri"/>
          <w:b/>
          <w:bCs/>
          <w:color w:val="auto"/>
          <w:w w:val="90"/>
          <w:kern w:val="0"/>
          <w:sz w:val="32"/>
          <w:szCs w:val="32"/>
          <w:highlight w:val="none"/>
          <w:lang w:eastAsia="zh-CN"/>
        </w:rPr>
        <w:t>江苏志诚工程咨询管理有限公司</w:t>
      </w:r>
    </w:p>
    <w:p w14:paraId="460B20D3">
      <w:pPr>
        <w:spacing w:line="360" w:lineRule="auto"/>
        <w:ind w:firstLine="1432" w:firstLineChars="495"/>
        <w:jc w:val="left"/>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发</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放</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日</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期：202</w:t>
      </w:r>
      <w:r>
        <w:rPr>
          <w:rFonts w:hint="eastAsia" w:ascii="宋体" w:hAnsi="宋体"/>
          <w:b/>
          <w:bCs/>
          <w:color w:val="auto"/>
          <w:w w:val="90"/>
          <w:kern w:val="0"/>
          <w:sz w:val="32"/>
          <w:szCs w:val="32"/>
          <w:highlight w:val="none"/>
          <w:lang w:val="en-US" w:eastAsia="zh-CN"/>
        </w:rPr>
        <w:t>5</w:t>
      </w:r>
      <w:r>
        <w:rPr>
          <w:rFonts w:hint="eastAsia" w:ascii="宋体" w:hAnsi="宋体"/>
          <w:b/>
          <w:bCs/>
          <w:color w:val="auto"/>
          <w:w w:val="90"/>
          <w:kern w:val="0"/>
          <w:sz w:val="32"/>
          <w:szCs w:val="32"/>
          <w:highlight w:val="none"/>
        </w:rPr>
        <w:t>年</w:t>
      </w:r>
      <w:r>
        <w:rPr>
          <w:rFonts w:hint="eastAsia" w:ascii="宋体" w:hAnsi="宋体"/>
          <w:b/>
          <w:bCs/>
          <w:color w:val="auto"/>
          <w:w w:val="90"/>
          <w:kern w:val="0"/>
          <w:sz w:val="32"/>
          <w:szCs w:val="32"/>
          <w:highlight w:val="none"/>
          <w:lang w:val="en-US" w:eastAsia="zh-CN"/>
        </w:rPr>
        <w:t>5</w:t>
      </w:r>
      <w:r>
        <w:rPr>
          <w:rFonts w:hint="eastAsia" w:ascii="宋体" w:hAnsi="宋体"/>
          <w:b/>
          <w:bCs/>
          <w:color w:val="auto"/>
          <w:w w:val="90"/>
          <w:kern w:val="0"/>
          <w:sz w:val="32"/>
          <w:szCs w:val="32"/>
          <w:highlight w:val="none"/>
        </w:rPr>
        <w:t>月</w:t>
      </w:r>
      <w:r>
        <w:rPr>
          <w:rFonts w:hint="eastAsia" w:ascii="宋体" w:hAnsi="宋体"/>
          <w:b/>
          <w:bCs/>
          <w:color w:val="auto"/>
          <w:w w:val="90"/>
          <w:kern w:val="0"/>
          <w:sz w:val="32"/>
          <w:szCs w:val="32"/>
          <w:highlight w:val="none"/>
          <w:lang w:val="en-US" w:eastAsia="zh-CN"/>
        </w:rPr>
        <w:t>14</w:t>
      </w:r>
      <w:r>
        <w:rPr>
          <w:rFonts w:hint="eastAsia" w:ascii="宋体" w:hAnsi="宋体"/>
          <w:b/>
          <w:bCs/>
          <w:color w:val="auto"/>
          <w:w w:val="90"/>
          <w:kern w:val="0"/>
          <w:sz w:val="32"/>
          <w:szCs w:val="32"/>
          <w:highlight w:val="none"/>
        </w:rPr>
        <w:t>日</w:t>
      </w:r>
    </w:p>
    <w:p w14:paraId="4F0C2EAE">
      <w:pPr>
        <w:rPr>
          <w:color w:val="auto"/>
          <w:highlight w:val="none"/>
        </w:rPr>
        <w:sectPr>
          <w:headerReference r:id="rId4" w:type="first"/>
          <w:footerReference r:id="rId6" w:type="first"/>
          <w:headerReference r:id="rId3" w:type="default"/>
          <w:footerReference r:id="rId5" w:type="default"/>
          <w:pgSz w:w="11906" w:h="16838"/>
          <w:pgMar w:top="1440" w:right="1080" w:bottom="1440" w:left="1080" w:header="1191" w:footer="992" w:gutter="0"/>
          <w:cols w:space="720" w:num="1"/>
          <w:docGrid w:type="lines" w:linePitch="312" w:charSpace="0"/>
        </w:sectPr>
      </w:pPr>
    </w:p>
    <w:p w14:paraId="179DEF14">
      <w:pPr>
        <w:spacing w:before="340" w:after="330"/>
        <w:jc w:val="center"/>
        <w:rPr>
          <w:rFonts w:hint="eastAsia" w:ascii="宋体" w:hAnsi="宋体" w:cs="宋体"/>
          <w:color w:val="auto"/>
          <w:kern w:val="0"/>
          <w:highlight w:val="none"/>
        </w:rPr>
      </w:pPr>
      <w:r>
        <w:rPr>
          <w:rFonts w:hint="eastAsia" w:ascii="宋体" w:hAnsi="宋体" w:cs="宋体"/>
          <w:b/>
          <w:bCs/>
          <w:color w:val="auto"/>
          <w:kern w:val="0"/>
          <w:sz w:val="36"/>
          <w:szCs w:val="24"/>
          <w:highlight w:val="none"/>
        </w:rPr>
        <w:t>目</w:t>
      </w:r>
      <w:r>
        <w:rPr>
          <w:rFonts w:hint="eastAsia" w:ascii="宋体" w:hAnsi="宋体" w:cs="宋体"/>
          <w:color w:val="auto"/>
          <w:kern w:val="0"/>
          <w:sz w:val="36"/>
          <w:szCs w:val="24"/>
          <w:highlight w:val="none"/>
        </w:rPr>
        <w:t xml:space="preserve"> </w:t>
      </w:r>
      <w:r>
        <w:rPr>
          <w:rFonts w:hint="eastAsia" w:ascii="宋体" w:hAnsi="宋体" w:cs="宋体"/>
          <w:b/>
          <w:bCs/>
          <w:color w:val="auto"/>
          <w:kern w:val="0"/>
          <w:sz w:val="36"/>
          <w:szCs w:val="24"/>
          <w:highlight w:val="none"/>
        </w:rPr>
        <w:t>录</w:t>
      </w:r>
    </w:p>
    <w:p w14:paraId="26C4DA46">
      <w:pPr>
        <w:pStyle w:val="34"/>
        <w:tabs>
          <w:tab w:val="clear" w:pos="9440"/>
        </w:tabs>
        <w:spacing w:line="480" w:lineRule="auto"/>
        <w:rPr>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_Toc11343 </w:instrText>
      </w:r>
      <w:r>
        <w:rPr>
          <w:rFonts w:hint="eastAsia" w:ascii="宋体" w:hAnsi="宋体" w:cs="宋体"/>
          <w:color w:val="auto"/>
          <w:sz w:val="30"/>
          <w:szCs w:val="30"/>
          <w:highlight w:val="none"/>
        </w:rPr>
        <w:fldChar w:fldCharType="separate"/>
      </w:r>
      <w:r>
        <w:rPr>
          <w:rFonts w:hint="eastAsia" w:ascii="宋体" w:hAnsi="宋体" w:cs="宋体"/>
          <w:color w:val="auto"/>
          <w:kern w:val="0"/>
          <w:sz w:val="30"/>
          <w:szCs w:val="30"/>
          <w:highlight w:val="none"/>
        </w:rPr>
        <w:t>第一章 竞争性磋商</w:t>
      </w:r>
      <w:r>
        <w:rPr>
          <w:rFonts w:hint="eastAsia" w:ascii="宋体" w:hAnsi="宋体" w:cs="宋体"/>
          <w:color w:val="auto"/>
          <w:kern w:val="0"/>
          <w:sz w:val="30"/>
          <w:szCs w:val="30"/>
          <w:highlight w:val="none"/>
          <w:lang w:val="en-US" w:eastAsia="zh-CN"/>
        </w:rPr>
        <w:t>采购</w:t>
      </w:r>
      <w:r>
        <w:rPr>
          <w:rFonts w:hint="eastAsia" w:ascii="宋体" w:hAnsi="宋体" w:cs="宋体"/>
          <w:color w:val="auto"/>
          <w:kern w:val="0"/>
          <w:sz w:val="30"/>
          <w:szCs w:val="30"/>
          <w:highlight w:val="none"/>
          <w:lang w:eastAsia="zh-CN"/>
        </w:rPr>
        <w:t>公告</w:t>
      </w:r>
      <w:r>
        <w:rPr>
          <w:color w:val="auto"/>
          <w:sz w:val="30"/>
          <w:szCs w:val="30"/>
          <w:highlight w:val="none"/>
        </w:rPr>
        <w:tab/>
      </w:r>
      <w:r>
        <w:rPr>
          <w:rFonts w:hint="eastAsia"/>
          <w:color w:val="auto"/>
          <w:sz w:val="30"/>
          <w:szCs w:val="30"/>
          <w:highlight w:val="none"/>
          <w:lang w:val="en-US" w:eastAsia="zh-CN"/>
        </w:rPr>
        <w:t>2</w:t>
      </w:r>
      <w:r>
        <w:rPr>
          <w:rFonts w:hint="eastAsia" w:ascii="宋体" w:hAnsi="宋体" w:cs="宋体"/>
          <w:color w:val="auto"/>
          <w:sz w:val="30"/>
          <w:szCs w:val="30"/>
          <w:highlight w:val="none"/>
        </w:rPr>
        <w:fldChar w:fldCharType="end"/>
      </w:r>
    </w:p>
    <w:p w14:paraId="7DF5810D">
      <w:pPr>
        <w:pStyle w:val="34"/>
        <w:tabs>
          <w:tab w:val="clear" w:pos="9440"/>
        </w:tabs>
        <w:spacing w:line="480" w:lineRule="auto"/>
        <w:rPr>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_Toc31028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第二章 磋商须知</w:t>
      </w:r>
      <w:r>
        <w:rPr>
          <w:color w:val="auto"/>
          <w:sz w:val="30"/>
          <w:szCs w:val="30"/>
          <w:highlight w:val="none"/>
        </w:rPr>
        <w:tab/>
      </w:r>
      <w:r>
        <w:rPr>
          <w:rFonts w:hint="eastAsia"/>
          <w:color w:val="auto"/>
          <w:sz w:val="30"/>
          <w:szCs w:val="30"/>
          <w:highlight w:val="none"/>
          <w:lang w:val="en-US" w:eastAsia="zh-CN"/>
        </w:rPr>
        <w:t>5</w:t>
      </w:r>
      <w:r>
        <w:rPr>
          <w:rFonts w:hint="eastAsia" w:ascii="宋体" w:hAnsi="宋体" w:cs="宋体"/>
          <w:color w:val="auto"/>
          <w:sz w:val="30"/>
          <w:szCs w:val="30"/>
          <w:highlight w:val="none"/>
        </w:rPr>
        <w:fldChar w:fldCharType="end"/>
      </w:r>
    </w:p>
    <w:p w14:paraId="04EF7482">
      <w:pPr>
        <w:pStyle w:val="34"/>
        <w:tabs>
          <w:tab w:val="clear" w:pos="9440"/>
        </w:tabs>
        <w:spacing w:line="480" w:lineRule="auto"/>
        <w:rPr>
          <w:rFonts w:hint="eastAsia" w:eastAsia="宋体"/>
          <w:color w:val="auto"/>
          <w:sz w:val="30"/>
          <w:szCs w:val="30"/>
          <w:highlight w:val="none"/>
          <w:lang w:val="en-US" w:eastAsia="zh-CN"/>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_Toc18550 </w:instrText>
      </w:r>
      <w:r>
        <w:rPr>
          <w:rFonts w:hint="eastAsia" w:ascii="宋体" w:hAnsi="宋体" w:cs="宋体"/>
          <w:color w:val="auto"/>
          <w:sz w:val="30"/>
          <w:szCs w:val="30"/>
          <w:highlight w:val="none"/>
        </w:rPr>
        <w:fldChar w:fldCharType="separate"/>
      </w:r>
      <w:r>
        <w:rPr>
          <w:rFonts w:hint="eastAsia" w:ascii="宋体" w:hAnsi="宋体" w:cs="宋体"/>
          <w:color w:val="auto"/>
          <w:kern w:val="0"/>
          <w:sz w:val="30"/>
          <w:szCs w:val="30"/>
          <w:highlight w:val="none"/>
        </w:rPr>
        <w:t>第三章 合同条款及格式</w:t>
      </w:r>
      <w:r>
        <w:rPr>
          <w:color w:val="auto"/>
          <w:sz w:val="30"/>
          <w:szCs w:val="30"/>
          <w:highlight w:val="none"/>
        </w:rPr>
        <w:tab/>
      </w:r>
      <w:r>
        <w:rPr>
          <w:rFonts w:hint="eastAsia"/>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3</w:t>
      </w:r>
    </w:p>
    <w:p w14:paraId="1C48D8C0">
      <w:pPr>
        <w:pStyle w:val="34"/>
        <w:tabs>
          <w:tab w:val="clear" w:pos="9440"/>
        </w:tabs>
        <w:spacing w:line="480" w:lineRule="auto"/>
        <w:rPr>
          <w:rFonts w:hint="eastAsia" w:eastAsia="黑体"/>
          <w:color w:val="auto"/>
          <w:sz w:val="30"/>
          <w:szCs w:val="30"/>
          <w:highlight w:val="none"/>
          <w:lang w:val="en-US" w:eastAsia="zh-CN"/>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_Toc9550 </w:instrText>
      </w:r>
      <w:r>
        <w:rPr>
          <w:rFonts w:hint="eastAsia" w:ascii="宋体" w:hAnsi="宋体" w:cs="宋体"/>
          <w:color w:val="auto"/>
          <w:sz w:val="30"/>
          <w:szCs w:val="30"/>
          <w:highlight w:val="none"/>
        </w:rPr>
        <w:fldChar w:fldCharType="separate"/>
      </w:r>
      <w:r>
        <w:rPr>
          <w:rFonts w:hint="eastAsia" w:ascii="宋体" w:hAnsi="宋体" w:cs="宋体"/>
          <w:color w:val="auto"/>
          <w:kern w:val="0"/>
          <w:sz w:val="30"/>
          <w:szCs w:val="30"/>
          <w:highlight w:val="none"/>
        </w:rPr>
        <w:t>第四章 项目需求</w:t>
      </w:r>
      <w:r>
        <w:rPr>
          <w:color w:val="auto"/>
          <w:sz w:val="30"/>
          <w:szCs w:val="30"/>
          <w:highlight w:val="none"/>
        </w:rPr>
        <w:tab/>
      </w:r>
      <w:r>
        <w:rPr>
          <w:rFonts w:hint="eastAsia"/>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w:t>
      </w:r>
    </w:p>
    <w:p w14:paraId="374CC5AE">
      <w:pPr>
        <w:pStyle w:val="34"/>
        <w:tabs>
          <w:tab w:val="clear" w:pos="9440"/>
        </w:tabs>
        <w:spacing w:line="480" w:lineRule="auto"/>
        <w:rPr>
          <w:rFonts w:hint="eastAsia" w:eastAsia="黑体"/>
          <w:color w:val="auto"/>
          <w:sz w:val="30"/>
          <w:szCs w:val="30"/>
          <w:highlight w:val="none"/>
          <w:lang w:val="en-US" w:eastAsia="zh-CN"/>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_Toc10650 </w:instrText>
      </w:r>
      <w:r>
        <w:rPr>
          <w:rFonts w:hint="eastAsia" w:ascii="宋体" w:hAnsi="宋体" w:cs="宋体"/>
          <w:color w:val="auto"/>
          <w:sz w:val="30"/>
          <w:szCs w:val="30"/>
          <w:highlight w:val="none"/>
        </w:rPr>
        <w:fldChar w:fldCharType="separate"/>
      </w:r>
      <w:r>
        <w:rPr>
          <w:rFonts w:hint="eastAsia" w:ascii="宋体" w:hAnsi="宋体" w:cs="宋体"/>
          <w:bCs/>
          <w:color w:val="auto"/>
          <w:kern w:val="0"/>
          <w:sz w:val="30"/>
          <w:szCs w:val="30"/>
          <w:highlight w:val="none"/>
        </w:rPr>
        <w:t xml:space="preserve">第五章 </w:t>
      </w:r>
      <w:r>
        <w:rPr>
          <w:rFonts w:hint="eastAsia" w:ascii="宋体" w:hAnsi="宋体" w:cs="宋体"/>
          <w:bCs/>
          <w:color w:val="auto"/>
          <w:kern w:val="0"/>
          <w:sz w:val="30"/>
          <w:szCs w:val="30"/>
          <w:highlight w:val="none"/>
          <w:lang w:val="en-US" w:eastAsia="zh-CN"/>
        </w:rPr>
        <w:t>评审方法和评审标准</w:t>
      </w:r>
      <w:r>
        <w:rPr>
          <w:color w:val="auto"/>
          <w:sz w:val="30"/>
          <w:szCs w:val="30"/>
          <w:highlight w:val="none"/>
        </w:rPr>
        <w:tab/>
      </w:r>
      <w:r>
        <w:rPr>
          <w:rFonts w:hint="eastAsia"/>
          <w:color w:val="auto"/>
          <w:sz w:val="30"/>
          <w:szCs w:val="30"/>
          <w:highlight w:val="none"/>
          <w:lang w:val="en-US" w:eastAsia="zh-CN"/>
        </w:rPr>
        <w:t xml:space="preserve"> 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w:t>
      </w:r>
    </w:p>
    <w:p w14:paraId="170DD0B8">
      <w:pPr>
        <w:pStyle w:val="34"/>
        <w:tabs>
          <w:tab w:val="clear" w:pos="9440"/>
        </w:tabs>
        <w:spacing w:line="480" w:lineRule="auto"/>
        <w:rPr>
          <w:rFonts w:hint="eastAsia" w:eastAsia="黑体"/>
          <w:color w:val="auto"/>
          <w:highlight w:val="none"/>
          <w:lang w:val="en-US" w:eastAsia="zh-CN"/>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_Toc7212 </w:instrText>
      </w:r>
      <w:r>
        <w:rPr>
          <w:rFonts w:hint="eastAsia" w:ascii="宋体" w:hAnsi="宋体" w:cs="宋体"/>
          <w:color w:val="auto"/>
          <w:sz w:val="30"/>
          <w:szCs w:val="30"/>
          <w:highlight w:val="none"/>
        </w:rPr>
        <w:fldChar w:fldCharType="separate"/>
      </w:r>
      <w:r>
        <w:rPr>
          <w:rFonts w:hint="eastAsia" w:ascii="宋体" w:hAnsi="宋体" w:cs="宋体"/>
          <w:bCs/>
          <w:color w:val="auto"/>
          <w:kern w:val="0"/>
          <w:sz w:val="30"/>
          <w:szCs w:val="30"/>
          <w:highlight w:val="none"/>
        </w:rPr>
        <w:t>第六章 竞争性磋商响应文件格式</w:t>
      </w:r>
      <w:r>
        <w:rPr>
          <w:color w:val="auto"/>
          <w:sz w:val="30"/>
          <w:szCs w:val="30"/>
          <w:highlight w:val="none"/>
        </w:rPr>
        <w:tab/>
      </w:r>
      <w:r>
        <w:rPr>
          <w:rFonts w:hint="eastAsia"/>
          <w:color w:val="auto"/>
          <w:sz w:val="30"/>
          <w:szCs w:val="30"/>
          <w:highlight w:val="none"/>
          <w:lang w:val="en-US" w:eastAsia="zh-CN"/>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3C5741DE">
      <w:pPr>
        <w:pStyle w:val="1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end"/>
      </w:r>
    </w:p>
    <w:p w14:paraId="0B263928">
      <w:pPr>
        <w:pStyle w:val="10"/>
        <w:spacing w:line="360" w:lineRule="auto"/>
        <w:jc w:val="center"/>
        <w:rPr>
          <w:rFonts w:hint="eastAsia" w:ascii="宋体" w:hAnsi="宋体" w:eastAsia="宋体"/>
          <w:b/>
          <w:color w:val="auto"/>
          <w:sz w:val="36"/>
          <w:szCs w:val="36"/>
          <w:highlight w:val="none"/>
        </w:rPr>
      </w:pPr>
    </w:p>
    <w:p w14:paraId="0B642233">
      <w:pPr>
        <w:rPr>
          <w:rFonts w:hint="eastAsia" w:ascii="宋体" w:hAnsi="宋体" w:eastAsia="宋体"/>
          <w:b/>
          <w:color w:val="auto"/>
          <w:sz w:val="36"/>
          <w:szCs w:val="36"/>
          <w:highlight w:val="none"/>
        </w:rPr>
      </w:pPr>
    </w:p>
    <w:p w14:paraId="2F54F03E">
      <w:pPr>
        <w:pStyle w:val="2"/>
        <w:rPr>
          <w:rFonts w:hint="eastAsia" w:ascii="宋体" w:hAnsi="宋体" w:eastAsia="宋体"/>
          <w:b/>
          <w:color w:val="auto"/>
          <w:sz w:val="36"/>
          <w:szCs w:val="36"/>
          <w:highlight w:val="none"/>
        </w:rPr>
      </w:pPr>
    </w:p>
    <w:p w14:paraId="3C0459DA">
      <w:pPr>
        <w:pStyle w:val="3"/>
        <w:rPr>
          <w:rFonts w:hint="eastAsia" w:ascii="宋体" w:hAnsi="宋体" w:eastAsia="宋体"/>
          <w:b/>
          <w:color w:val="auto"/>
          <w:sz w:val="36"/>
          <w:szCs w:val="36"/>
          <w:highlight w:val="none"/>
        </w:rPr>
      </w:pPr>
    </w:p>
    <w:p w14:paraId="285C18C7">
      <w:pPr>
        <w:pStyle w:val="4"/>
        <w:rPr>
          <w:rFonts w:hint="eastAsia" w:ascii="宋体" w:hAnsi="宋体" w:eastAsia="宋体"/>
          <w:b/>
          <w:color w:val="auto"/>
          <w:sz w:val="36"/>
          <w:szCs w:val="36"/>
          <w:highlight w:val="none"/>
        </w:rPr>
      </w:pPr>
    </w:p>
    <w:p w14:paraId="64C81E6A">
      <w:pPr>
        <w:pStyle w:val="5"/>
        <w:rPr>
          <w:rFonts w:hint="eastAsia" w:ascii="宋体" w:hAnsi="宋体" w:eastAsia="宋体"/>
          <w:b/>
          <w:color w:val="auto"/>
          <w:sz w:val="36"/>
          <w:szCs w:val="36"/>
          <w:highlight w:val="none"/>
        </w:rPr>
      </w:pPr>
    </w:p>
    <w:p w14:paraId="1154FC0D">
      <w:pPr>
        <w:pStyle w:val="6"/>
        <w:rPr>
          <w:rFonts w:hint="eastAsia" w:ascii="宋体" w:hAnsi="宋体" w:eastAsia="宋体"/>
          <w:b/>
          <w:color w:val="auto"/>
          <w:sz w:val="36"/>
          <w:szCs w:val="36"/>
          <w:highlight w:val="none"/>
        </w:rPr>
      </w:pPr>
    </w:p>
    <w:p w14:paraId="387D5FDA">
      <w:pPr>
        <w:pStyle w:val="7"/>
        <w:rPr>
          <w:rFonts w:hint="eastAsia" w:ascii="宋体" w:hAnsi="宋体" w:eastAsia="宋体"/>
          <w:b/>
          <w:color w:val="auto"/>
          <w:sz w:val="36"/>
          <w:szCs w:val="36"/>
          <w:highlight w:val="none"/>
        </w:rPr>
      </w:pPr>
    </w:p>
    <w:p w14:paraId="0229B420">
      <w:pPr>
        <w:pStyle w:val="8"/>
        <w:rPr>
          <w:rFonts w:hint="eastAsia" w:ascii="宋体" w:hAnsi="宋体" w:eastAsia="宋体"/>
          <w:b/>
          <w:color w:val="auto"/>
          <w:sz w:val="36"/>
          <w:szCs w:val="36"/>
          <w:highlight w:val="none"/>
        </w:rPr>
      </w:pPr>
    </w:p>
    <w:p w14:paraId="4083A8AB">
      <w:pPr>
        <w:pStyle w:val="9"/>
        <w:rPr>
          <w:rFonts w:hint="eastAsia" w:ascii="宋体" w:hAnsi="宋体" w:eastAsia="宋体"/>
          <w:b/>
          <w:color w:val="auto"/>
          <w:sz w:val="36"/>
          <w:szCs w:val="36"/>
          <w:highlight w:val="none"/>
        </w:rPr>
      </w:pPr>
    </w:p>
    <w:p w14:paraId="15E7E8AA">
      <w:pPr>
        <w:rPr>
          <w:rFonts w:hint="eastAsia" w:ascii="宋体" w:hAnsi="宋体" w:eastAsia="宋体"/>
          <w:b/>
          <w:color w:val="auto"/>
          <w:sz w:val="36"/>
          <w:szCs w:val="36"/>
          <w:highlight w:val="none"/>
        </w:rPr>
      </w:pPr>
    </w:p>
    <w:p w14:paraId="3016F42D">
      <w:pPr>
        <w:pStyle w:val="2"/>
        <w:rPr>
          <w:rFonts w:hint="eastAsia"/>
          <w:color w:val="auto"/>
          <w:highlight w:val="none"/>
        </w:rPr>
      </w:pPr>
    </w:p>
    <w:p w14:paraId="06D7BB4E">
      <w:pPr>
        <w:pStyle w:val="10"/>
        <w:spacing w:line="360" w:lineRule="auto"/>
        <w:jc w:val="center"/>
        <w:rPr>
          <w:rFonts w:hint="eastAsia" w:ascii="宋体" w:hAnsi="宋体" w:eastAsia="宋体"/>
          <w:b/>
          <w:color w:val="auto"/>
          <w:sz w:val="21"/>
          <w:szCs w:val="21"/>
          <w:highlight w:val="none"/>
        </w:rPr>
      </w:pPr>
    </w:p>
    <w:p w14:paraId="4365EEC4">
      <w:pPr>
        <w:pStyle w:val="10"/>
        <w:spacing w:line="360" w:lineRule="auto"/>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第一章 竞争性磋商采购公告</w:t>
      </w:r>
    </w:p>
    <w:p w14:paraId="1B340F5D">
      <w:pPr>
        <w:spacing w:line="360" w:lineRule="auto"/>
        <w:ind w:firstLine="525" w:firstLineChars="250"/>
        <w:rPr>
          <w:rFonts w:hint="eastAsia" w:ascii="宋体" w:hAnsi="宋体" w:eastAsia="宋体" w:cs="宋体"/>
          <w:b/>
          <w:color w:val="auto"/>
          <w:sz w:val="36"/>
          <w:highlight w:val="none"/>
        </w:rPr>
      </w:pPr>
      <w:bookmarkStart w:id="0" w:name="OLE_LINK4"/>
      <w:bookmarkStart w:id="1" w:name="OLE_LINK3"/>
      <w:r>
        <w:rPr>
          <w:rFonts w:hint="eastAsia" w:ascii="宋体" w:hAnsi="宋体" w:eastAsia="宋体" w:cs="宋体"/>
          <w:color w:val="auto"/>
          <w:szCs w:val="21"/>
          <w:highlight w:val="none"/>
        </w:rPr>
        <w:t>受</w:t>
      </w:r>
      <w:r>
        <w:rPr>
          <w:rFonts w:hint="eastAsia" w:ascii="宋体" w:hAnsi="宋体" w:eastAsia="宋体" w:cs="宋体"/>
          <w:color w:val="auto"/>
          <w:highlight w:val="none"/>
          <w:lang w:eastAsia="zh-CN"/>
        </w:rPr>
        <w:t>扬州维投经营管理有限公司</w:t>
      </w:r>
      <w:r>
        <w:rPr>
          <w:rFonts w:hint="eastAsia" w:ascii="宋体" w:hAnsi="宋体" w:eastAsia="宋体" w:cs="宋体"/>
          <w:color w:val="auto"/>
          <w:szCs w:val="21"/>
          <w:highlight w:val="none"/>
        </w:rPr>
        <w:t>的委托，</w:t>
      </w:r>
      <w:r>
        <w:rPr>
          <w:rFonts w:hint="eastAsia" w:ascii="宋体" w:hAnsi="宋体" w:eastAsia="宋体" w:cs="宋体"/>
          <w:color w:val="auto"/>
          <w:highlight w:val="none"/>
          <w:lang w:eastAsia="zh-CN"/>
        </w:rPr>
        <w:t>江苏志诚工程咨询管理有限公司</w:t>
      </w:r>
      <w:r>
        <w:rPr>
          <w:rFonts w:hint="eastAsia" w:ascii="宋体" w:hAnsi="宋体" w:eastAsia="宋体" w:cs="宋体"/>
          <w:color w:val="auto"/>
          <w:highlight w:val="none"/>
        </w:rPr>
        <w:t>就其</w:t>
      </w:r>
      <w:r>
        <w:rPr>
          <w:rFonts w:hint="eastAsia" w:ascii="宋体" w:hAnsi="宋体" w:eastAsia="宋体" w:cs="宋体"/>
          <w:color w:val="auto"/>
          <w:highlight w:val="none"/>
          <w:lang w:eastAsia="zh-CN"/>
        </w:rPr>
        <w:t>2025-2026西花园</w:t>
      </w:r>
      <w:r>
        <w:rPr>
          <w:rFonts w:hint="eastAsia" w:ascii="宋体" w:hAnsi="宋体" w:eastAsia="宋体" w:cs="宋体"/>
          <w:color w:val="auto"/>
          <w:highlight w:val="none"/>
          <w:lang w:val="en-US" w:eastAsia="zh-CN"/>
        </w:rPr>
        <w:t>北</w:t>
      </w:r>
      <w:r>
        <w:rPr>
          <w:rFonts w:hint="eastAsia" w:ascii="宋体" w:hAnsi="宋体" w:eastAsia="宋体" w:cs="宋体"/>
          <w:color w:val="auto"/>
          <w:highlight w:val="none"/>
          <w:lang w:eastAsia="zh-CN"/>
        </w:rPr>
        <w:t>绿化养护工程</w:t>
      </w:r>
      <w:r>
        <w:rPr>
          <w:rFonts w:hint="eastAsia" w:ascii="宋体" w:hAnsi="宋体" w:eastAsia="宋体" w:cs="宋体"/>
          <w:color w:val="auto"/>
          <w:szCs w:val="21"/>
          <w:highlight w:val="none"/>
          <w:lang w:eastAsia="zh-CN"/>
        </w:rPr>
        <w:t>JSZCZC202502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号</w:t>
      </w:r>
      <w:r>
        <w:rPr>
          <w:rFonts w:hint="eastAsia" w:ascii="宋体" w:hAnsi="宋体" w:eastAsia="宋体" w:cs="宋体"/>
          <w:color w:val="auto"/>
          <w:highlight w:val="none"/>
        </w:rPr>
        <w:t>进行竞争性磋商采购，现欢迎符合相关</w:t>
      </w:r>
      <w:r>
        <w:rPr>
          <w:rFonts w:hint="eastAsia" w:ascii="宋体" w:hAnsi="宋体" w:eastAsia="宋体" w:cs="宋体"/>
          <w:color w:val="auto"/>
          <w:szCs w:val="21"/>
          <w:highlight w:val="none"/>
        </w:rPr>
        <w:t>条件的供应商参加磋商。</w:t>
      </w:r>
    </w:p>
    <w:tbl>
      <w:tblPr>
        <w:tblStyle w:val="45"/>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8"/>
      </w:tblGrid>
      <w:tr w14:paraId="3BF86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trPr>
        <w:tc>
          <w:tcPr>
            <w:tcW w:w="9828" w:type="dxa"/>
            <w:vAlign w:val="top"/>
          </w:tcPr>
          <w:p w14:paraId="7BEF5815">
            <w:pPr>
              <w:keepNext w:val="0"/>
              <w:keepLines w:val="0"/>
              <w:suppressLineNumbers w:val="0"/>
              <w:pBdr>
                <w:top w:val="single" w:color="000000" w:sz="4" w:space="1"/>
                <w:left w:val="single" w:color="000000" w:sz="4" w:space="4"/>
                <w:bottom w:val="single" w:color="000000" w:sz="4" w:space="1"/>
                <w:right w:val="single" w:color="000000" w:sz="4" w:space="4"/>
              </w:pBdr>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194C5C10">
            <w:pPr>
              <w:keepNext w:val="0"/>
              <w:keepLines w:val="0"/>
              <w:suppressLineNumbers w:val="0"/>
              <w:pBdr>
                <w:top w:val="single" w:color="000000" w:sz="4" w:space="1"/>
                <w:left w:val="single" w:color="000000" w:sz="4" w:space="4"/>
                <w:bottom w:val="single" w:color="000000" w:sz="4" w:space="1"/>
                <w:right w:val="single" w:color="000000" w:sz="4" w:space="4"/>
              </w:pBdr>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2025-2026西花园北绿化养护工程</w:t>
            </w:r>
            <w:r>
              <w:rPr>
                <w:rFonts w:hint="eastAsia" w:ascii="宋体" w:hAnsi="宋体" w:eastAsia="宋体" w:cs="宋体"/>
                <w:color w:val="auto"/>
                <w:szCs w:val="21"/>
                <w:highlight w:val="none"/>
              </w:rPr>
              <w:t>的潜在供应商可在</w:t>
            </w:r>
            <w:r>
              <w:rPr>
                <w:rFonts w:hint="eastAsia" w:ascii="宋体" w:hAnsi="宋体" w:eastAsia="宋体" w:cs="宋体"/>
                <w:color w:val="auto"/>
                <w:szCs w:val="21"/>
                <w:highlight w:val="none"/>
                <w:u w:val="single"/>
                <w:lang w:eastAsia="zh-CN"/>
              </w:rPr>
              <w:t>“扬州市公共资源交易平台邗江分中心国企采购栏目、扬州维扬发展投资有限公司网站”</w:t>
            </w:r>
            <w:r>
              <w:rPr>
                <w:rFonts w:hint="eastAsia" w:ascii="宋体" w:hAnsi="宋体" w:eastAsia="宋体" w:cs="宋体"/>
                <w:color w:val="auto"/>
                <w:szCs w:val="21"/>
                <w:highlight w:val="none"/>
              </w:rPr>
              <w:t>购买采购文件，并于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05</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27</w:t>
            </w:r>
            <w:r>
              <w:rPr>
                <w:rFonts w:hint="eastAsia" w:ascii="宋体" w:hAnsi="宋体" w:eastAsia="宋体" w:cs="宋体"/>
                <w:bCs/>
                <w:color w:val="auto"/>
                <w:szCs w:val="21"/>
                <w:highlight w:val="none"/>
                <w:u w:val="single"/>
              </w:rPr>
              <w:t>日</w:t>
            </w:r>
            <w:r>
              <w:rPr>
                <w:rFonts w:hint="eastAsia" w:ascii="宋体" w:hAnsi="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点30分</w:t>
            </w:r>
            <w:r>
              <w:rPr>
                <w:rFonts w:hint="eastAsia" w:ascii="宋体" w:hAnsi="宋体" w:eastAsia="宋体" w:cs="宋体"/>
                <w:bCs/>
                <w:color w:val="auto"/>
                <w:szCs w:val="21"/>
                <w:highlight w:val="none"/>
              </w:rPr>
              <w:t>（北京时间）前递交响应文件</w:t>
            </w:r>
            <w:r>
              <w:rPr>
                <w:rFonts w:hint="eastAsia" w:ascii="宋体" w:hAnsi="宋体" w:eastAsia="宋体" w:cs="宋体"/>
                <w:color w:val="auto"/>
                <w:szCs w:val="21"/>
                <w:highlight w:val="none"/>
              </w:rPr>
              <w:t>。</w:t>
            </w:r>
          </w:p>
        </w:tc>
      </w:tr>
    </w:tbl>
    <w:p w14:paraId="647F8CF8">
      <w:pPr>
        <w:tabs>
          <w:tab w:val="left" w:pos="900"/>
        </w:tabs>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一、项目基本情况</w:t>
      </w:r>
    </w:p>
    <w:p w14:paraId="6137B769">
      <w:pPr>
        <w:spacing w:line="360" w:lineRule="auto"/>
        <w:ind w:firstLine="420"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lang w:val="zh-CN"/>
        </w:rPr>
        <w:t>1、项目编号：</w:t>
      </w:r>
      <w:r>
        <w:rPr>
          <w:rFonts w:hint="eastAsia" w:ascii="宋体" w:hAnsi="宋体" w:eastAsia="宋体" w:cs="宋体"/>
          <w:color w:val="auto"/>
          <w:szCs w:val="21"/>
          <w:highlight w:val="none"/>
          <w:lang w:eastAsia="zh-CN"/>
        </w:rPr>
        <w:t>JSZCZC2025025</w:t>
      </w:r>
      <w:r>
        <w:rPr>
          <w:rFonts w:hint="eastAsia" w:ascii="宋体" w:hAnsi="宋体" w:eastAsia="宋体" w:cs="宋体"/>
          <w:color w:val="auto"/>
          <w:szCs w:val="21"/>
          <w:highlight w:val="none"/>
        </w:rPr>
        <w:t>号</w:t>
      </w:r>
    </w:p>
    <w:p w14:paraId="7A10C6DA">
      <w:pPr>
        <w:spacing w:line="360" w:lineRule="auto"/>
        <w:ind w:firstLine="420" w:firstLineChars="200"/>
        <w:jc w:val="left"/>
        <w:outlineLvl w:val="0"/>
        <w:rPr>
          <w:rFonts w:hint="eastAsia" w:ascii="宋体" w:hAnsi="宋体" w:eastAsia="宋体" w:cs="宋体"/>
          <w:color w:val="auto"/>
          <w:highlight w:val="none"/>
          <w:lang w:val="zh-CN" w:eastAsia="zh-CN"/>
        </w:rPr>
      </w:pPr>
      <w:r>
        <w:rPr>
          <w:rFonts w:hint="eastAsia" w:ascii="宋体" w:hAnsi="宋体" w:eastAsia="宋体" w:cs="宋体"/>
          <w:color w:val="auto"/>
          <w:szCs w:val="21"/>
          <w:highlight w:val="none"/>
        </w:rPr>
        <w:t>2、项目名称：</w:t>
      </w:r>
      <w:r>
        <w:rPr>
          <w:rFonts w:hint="eastAsia" w:ascii="宋体" w:hAnsi="宋体" w:eastAsia="宋体" w:cs="宋体"/>
          <w:color w:val="auto"/>
          <w:szCs w:val="21"/>
          <w:highlight w:val="none"/>
          <w:lang w:eastAsia="zh-CN"/>
        </w:rPr>
        <w:t>2025-2026西花园</w:t>
      </w:r>
      <w:r>
        <w:rPr>
          <w:rFonts w:hint="eastAsia" w:ascii="宋体" w:hAnsi="宋体" w:eastAsia="宋体" w:cs="宋体"/>
          <w:color w:val="auto"/>
          <w:szCs w:val="21"/>
          <w:highlight w:val="none"/>
          <w:lang w:val="en-US" w:eastAsia="zh-CN"/>
        </w:rPr>
        <w:t>北</w:t>
      </w:r>
      <w:r>
        <w:rPr>
          <w:rFonts w:hint="eastAsia" w:ascii="宋体" w:hAnsi="宋体" w:eastAsia="宋体" w:cs="宋体"/>
          <w:color w:val="auto"/>
          <w:szCs w:val="21"/>
          <w:highlight w:val="none"/>
          <w:lang w:eastAsia="zh-CN"/>
        </w:rPr>
        <w:t>绿化养护工程</w:t>
      </w:r>
    </w:p>
    <w:p w14:paraId="55A5DF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25B4CA5E">
      <w:pPr>
        <w:spacing w:line="360" w:lineRule="auto"/>
        <w:ind w:firstLine="420" w:firstLineChars="200"/>
        <w:rPr>
          <w:rFonts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4、预算金额：</w:t>
      </w:r>
      <w:r>
        <w:rPr>
          <w:rFonts w:hint="eastAsia" w:ascii="宋体" w:hAnsi="宋体" w:eastAsia="宋体" w:cs="宋体"/>
          <w:color w:val="auto"/>
          <w:szCs w:val="21"/>
          <w:highlight w:val="none"/>
          <w:lang w:val="en-US" w:eastAsia="zh-CN"/>
        </w:rPr>
        <w:t>51万元</w:t>
      </w:r>
    </w:p>
    <w:p w14:paraId="47125EED">
      <w:pPr>
        <w:spacing w:line="360" w:lineRule="auto"/>
        <w:ind w:firstLine="388" w:firstLineChars="200"/>
        <w:rPr>
          <w:rFonts w:hint="eastAsia" w:ascii="宋体" w:hAnsi="宋体" w:eastAsia="宋体" w:cs="宋体"/>
          <w:color w:val="auto"/>
          <w:szCs w:val="21"/>
          <w:highlight w:val="none"/>
        </w:rPr>
      </w:pPr>
      <w:r>
        <w:rPr>
          <w:rFonts w:hint="eastAsia" w:ascii="宋体" w:hAnsi="宋体" w:eastAsia="宋体" w:cs="宋体"/>
          <w:color w:val="auto"/>
          <w:spacing w:val="-8"/>
          <w:highlight w:val="none"/>
          <w:lang w:val="zh-CN"/>
        </w:rPr>
        <w:t>5、</w:t>
      </w:r>
      <w:r>
        <w:rPr>
          <w:rFonts w:hint="eastAsia" w:ascii="宋体" w:hAnsi="宋体" w:eastAsia="宋体" w:cs="宋体"/>
          <w:color w:val="auto"/>
          <w:szCs w:val="21"/>
          <w:highlight w:val="none"/>
        </w:rPr>
        <w:t>最高限价：</w:t>
      </w:r>
      <w:r>
        <w:rPr>
          <w:rFonts w:hint="eastAsia" w:ascii="宋体" w:hAnsi="宋体" w:eastAsia="宋体" w:cs="宋体"/>
          <w:color w:val="auto"/>
          <w:kern w:val="1"/>
          <w:szCs w:val="21"/>
          <w:highlight w:val="none"/>
        </w:rPr>
        <w:t>本项目设定最高限价，按照预算金额下浮7%为</w:t>
      </w:r>
      <w:r>
        <w:rPr>
          <w:rFonts w:hint="eastAsia" w:ascii="宋体" w:hAnsi="宋体" w:eastAsia="宋体" w:cs="宋体"/>
          <w:color w:val="auto"/>
          <w:kern w:val="1"/>
          <w:szCs w:val="21"/>
          <w:highlight w:val="none"/>
          <w:lang w:val="en-US" w:eastAsia="zh-CN"/>
        </w:rPr>
        <w:t>47.43</w:t>
      </w:r>
      <w:r>
        <w:rPr>
          <w:rFonts w:hint="eastAsia" w:ascii="宋体" w:hAnsi="宋体" w:eastAsia="宋体" w:cs="宋体"/>
          <w:color w:val="auto"/>
          <w:kern w:val="1"/>
          <w:szCs w:val="21"/>
          <w:highlight w:val="none"/>
        </w:rPr>
        <w:t>万元，报价超过最高限价的为无效报价，按照无效响应处理。</w:t>
      </w:r>
    </w:p>
    <w:p w14:paraId="658F0BAF">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w:t>
      </w:r>
      <w:bookmarkStart w:id="2" w:name="_Toc28359080"/>
      <w:bookmarkStart w:id="3" w:name="_Toc28359003"/>
      <w:bookmarkStart w:id="4" w:name="_Toc35393622"/>
      <w:bookmarkStart w:id="5" w:name="_Toc38985264"/>
      <w:r>
        <w:rPr>
          <w:rFonts w:hint="eastAsia" w:ascii="宋体" w:hAnsi="宋体" w:eastAsia="宋体" w:cs="宋体"/>
          <w:color w:val="auto"/>
          <w:szCs w:val="21"/>
          <w:highlight w:val="none"/>
          <w:lang w:val="en-US" w:eastAsia="zh-CN"/>
        </w:rPr>
        <w:t>西花园北片区绿化养护一年期二级养护约150000㎡，需对北片区内所有乔木、灌木、草丛、花卉等进行浇水、修剪、除草、打药、栽植更换时令花卉（根据采购人指示，一年至少更换4次时令花卉，每次更换面积至少为700m²,100株/m²）等，养护等级为绿化二级养护。具体详见磋商文件第四章。</w:t>
      </w:r>
    </w:p>
    <w:p w14:paraId="67066823">
      <w:pPr>
        <w:spacing w:line="360" w:lineRule="auto"/>
        <w:ind w:firstLine="420" w:firstLineChars="200"/>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7、合同履行期限：</w:t>
      </w:r>
      <w:r>
        <w:rPr>
          <w:rFonts w:hint="eastAsia" w:ascii="宋体" w:hAnsi="宋体" w:eastAsia="宋体" w:cs="宋体"/>
          <w:color w:val="auto"/>
          <w:szCs w:val="21"/>
          <w:highlight w:val="none"/>
          <w:lang w:val="en-US" w:eastAsia="zh-CN"/>
        </w:rPr>
        <w:t>一年</w:t>
      </w:r>
      <w:r>
        <w:rPr>
          <w:rFonts w:hint="eastAsia" w:ascii="宋体" w:hAnsi="宋体" w:eastAsia="宋体" w:cs="宋体"/>
          <w:color w:val="auto"/>
          <w:szCs w:val="21"/>
          <w:highlight w:val="none"/>
        </w:rPr>
        <w:t>。</w:t>
      </w:r>
    </w:p>
    <w:bookmarkEnd w:id="2"/>
    <w:bookmarkEnd w:id="3"/>
    <w:bookmarkEnd w:id="4"/>
    <w:bookmarkEnd w:id="5"/>
    <w:p w14:paraId="7C5D1505">
      <w:pPr>
        <w:spacing w:line="360"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8、本项目</w:t>
      </w:r>
      <w:r>
        <w:rPr>
          <w:rFonts w:hint="eastAsia" w:ascii="宋体" w:hAnsi="宋体" w:eastAsia="宋体" w:cs="宋体"/>
          <w:color w:val="auto"/>
          <w:kern w:val="1"/>
          <w:szCs w:val="21"/>
          <w:highlight w:val="none"/>
          <w:u w:val="single"/>
        </w:rPr>
        <w:t>不接受</w:t>
      </w:r>
      <w:r>
        <w:rPr>
          <w:rFonts w:hint="eastAsia" w:ascii="宋体" w:hAnsi="宋体" w:eastAsia="宋体" w:cs="宋体"/>
          <w:color w:val="auto"/>
          <w:kern w:val="1"/>
          <w:szCs w:val="21"/>
          <w:highlight w:val="none"/>
        </w:rPr>
        <w:t>联合体磋商。</w:t>
      </w:r>
    </w:p>
    <w:p w14:paraId="2C1040B6">
      <w:pPr>
        <w:spacing w:line="360"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9、投标供应商应自行进行现场勘察以获取</w:t>
      </w:r>
      <w:r>
        <w:rPr>
          <w:rFonts w:hint="eastAsia" w:ascii="宋体" w:hAnsi="宋体" w:eastAsia="宋体" w:cs="宋体"/>
          <w:color w:val="auto"/>
          <w:kern w:val="1"/>
          <w:szCs w:val="21"/>
          <w:highlight w:val="none"/>
          <w:lang w:val="en-US" w:eastAsia="zh-CN"/>
        </w:rPr>
        <w:t>磋商</w:t>
      </w:r>
      <w:r>
        <w:rPr>
          <w:rFonts w:hint="eastAsia" w:ascii="宋体" w:hAnsi="宋体" w:eastAsia="宋体" w:cs="宋体"/>
          <w:color w:val="auto"/>
          <w:kern w:val="1"/>
          <w:szCs w:val="21"/>
          <w:highlight w:val="none"/>
        </w:rPr>
        <w:t>的相关信息。</w:t>
      </w:r>
    </w:p>
    <w:p w14:paraId="7972044B">
      <w:pPr>
        <w:tabs>
          <w:tab w:val="left" w:pos="900"/>
        </w:tabs>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二、申请人的资格要求：</w:t>
      </w:r>
    </w:p>
    <w:p w14:paraId="5385B5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1、满足以下规定，并提供下列材料：</w:t>
      </w:r>
    </w:p>
    <w:p w14:paraId="4327B5C3">
      <w:pPr>
        <w:spacing w:line="360" w:lineRule="auto"/>
        <w:ind w:firstLine="420" w:firstLineChars="200"/>
        <w:rPr>
          <w:rFonts w:hint="eastAsia" w:ascii="宋体" w:hAnsi="宋体" w:eastAsia="宋体" w:cs="宋体"/>
          <w:i/>
          <w:color w:val="auto"/>
          <w:kern w:val="0"/>
          <w:szCs w:val="21"/>
          <w:highlight w:val="none"/>
          <w:u w:val="single"/>
        </w:rPr>
      </w:pPr>
      <w:bookmarkStart w:id="6" w:name="_Toc28359001"/>
      <w:bookmarkStart w:id="7" w:name="_Toc38985262"/>
      <w:r>
        <w:rPr>
          <w:rFonts w:hint="eastAsia" w:ascii="宋体" w:hAnsi="宋体" w:eastAsia="宋体" w:cs="宋体"/>
          <w:i/>
          <w:color w:val="auto"/>
          <w:kern w:val="0"/>
          <w:szCs w:val="21"/>
          <w:highlight w:val="none"/>
          <w:u w:val="single"/>
        </w:rPr>
        <w:t>（1）磋商响应函</w:t>
      </w:r>
      <w:r>
        <w:rPr>
          <w:rFonts w:hint="eastAsia" w:ascii="宋体" w:hAnsi="宋体" w:eastAsia="宋体" w:cs="宋体"/>
          <w:b/>
          <w:i/>
          <w:color w:val="auto"/>
          <w:kern w:val="0"/>
          <w:szCs w:val="21"/>
          <w:highlight w:val="none"/>
          <w:u w:val="single"/>
        </w:rPr>
        <w:t>(原件)</w:t>
      </w:r>
    </w:p>
    <w:p w14:paraId="356D670D">
      <w:pPr>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（2）资格声明</w:t>
      </w:r>
      <w:r>
        <w:rPr>
          <w:rFonts w:hint="eastAsia" w:ascii="宋体" w:hAnsi="宋体" w:eastAsia="宋体" w:cs="宋体"/>
          <w:b/>
          <w:i/>
          <w:color w:val="auto"/>
          <w:kern w:val="0"/>
          <w:szCs w:val="21"/>
          <w:highlight w:val="none"/>
          <w:u w:val="single"/>
        </w:rPr>
        <w:t>(原件)</w:t>
      </w:r>
    </w:p>
    <w:p w14:paraId="3CF7DAE6">
      <w:pPr>
        <w:spacing w:line="360" w:lineRule="auto"/>
        <w:ind w:firstLine="420" w:firstLineChars="200"/>
        <w:rPr>
          <w:rFonts w:hint="eastAsia" w:ascii="宋体" w:hAnsi="宋体" w:eastAsia="宋体" w:cs="宋体"/>
          <w:b/>
          <w:bCs/>
          <w:i/>
          <w:color w:val="auto"/>
          <w:kern w:val="0"/>
          <w:szCs w:val="21"/>
          <w:highlight w:val="none"/>
          <w:u w:val="single"/>
        </w:rPr>
      </w:pPr>
      <w:r>
        <w:rPr>
          <w:rFonts w:hint="eastAsia" w:ascii="宋体" w:hAnsi="宋体" w:eastAsia="宋体" w:cs="宋体"/>
          <w:i/>
          <w:color w:val="auto"/>
          <w:kern w:val="0"/>
          <w:szCs w:val="21"/>
          <w:highlight w:val="none"/>
          <w:u w:val="single"/>
        </w:rPr>
        <w:t>（3）若法定代表人参加磋商的，须提供本人身份证</w:t>
      </w:r>
      <w:r>
        <w:rPr>
          <w:rFonts w:hint="eastAsia" w:ascii="宋体" w:hAnsi="宋体" w:eastAsia="宋体" w:cs="宋体"/>
          <w:b/>
          <w:i/>
          <w:color w:val="auto"/>
          <w:kern w:val="0"/>
          <w:szCs w:val="21"/>
          <w:highlight w:val="none"/>
          <w:u w:val="single"/>
        </w:rPr>
        <w:t>复印件加盖供应商公章(原件备查)</w:t>
      </w:r>
      <w:r>
        <w:rPr>
          <w:rFonts w:hint="eastAsia" w:ascii="宋体" w:hAnsi="宋体" w:eastAsia="宋体" w:cs="宋体"/>
          <w:i/>
          <w:color w:val="auto"/>
          <w:kern w:val="0"/>
          <w:szCs w:val="21"/>
          <w:highlight w:val="none"/>
          <w:u w:val="single"/>
        </w:rPr>
        <w:t>；若授权代表参加的，须提供《法人授权书》</w:t>
      </w:r>
      <w:r>
        <w:rPr>
          <w:rFonts w:hint="eastAsia" w:ascii="宋体" w:hAnsi="宋体" w:eastAsia="宋体" w:cs="宋体"/>
          <w:b/>
          <w:i/>
          <w:color w:val="auto"/>
          <w:kern w:val="0"/>
          <w:szCs w:val="21"/>
          <w:highlight w:val="none"/>
          <w:u w:val="single"/>
        </w:rPr>
        <w:t>原件</w:t>
      </w:r>
      <w:r>
        <w:rPr>
          <w:rFonts w:hint="eastAsia" w:ascii="宋体" w:hAnsi="宋体" w:eastAsia="宋体" w:cs="宋体"/>
          <w:bCs/>
          <w:i/>
          <w:color w:val="auto"/>
          <w:kern w:val="0"/>
          <w:szCs w:val="21"/>
          <w:highlight w:val="none"/>
          <w:u w:val="single"/>
        </w:rPr>
        <w:t>和</w:t>
      </w:r>
      <w:r>
        <w:rPr>
          <w:rFonts w:hint="eastAsia" w:ascii="宋体" w:hAnsi="宋体" w:eastAsia="宋体" w:cs="宋体"/>
          <w:i/>
          <w:color w:val="auto"/>
          <w:kern w:val="0"/>
          <w:szCs w:val="21"/>
          <w:highlight w:val="none"/>
          <w:u w:val="single"/>
        </w:rPr>
        <w:t>授权代表身份证</w:t>
      </w:r>
      <w:r>
        <w:rPr>
          <w:rFonts w:hint="eastAsia" w:ascii="宋体" w:hAnsi="宋体" w:eastAsia="宋体" w:cs="宋体"/>
          <w:b/>
          <w:bCs/>
          <w:i/>
          <w:color w:val="auto"/>
          <w:kern w:val="0"/>
          <w:szCs w:val="21"/>
          <w:highlight w:val="none"/>
          <w:u w:val="single"/>
        </w:rPr>
        <w:t>复印件</w:t>
      </w:r>
      <w:r>
        <w:rPr>
          <w:rFonts w:hint="eastAsia" w:ascii="宋体" w:hAnsi="宋体" w:eastAsia="宋体" w:cs="宋体"/>
          <w:b/>
          <w:i/>
          <w:color w:val="auto"/>
          <w:kern w:val="0"/>
          <w:szCs w:val="21"/>
          <w:highlight w:val="none"/>
          <w:u w:val="single"/>
        </w:rPr>
        <w:t>加盖供应商公章（原件备查）</w:t>
      </w:r>
      <w:r>
        <w:rPr>
          <w:rFonts w:hint="eastAsia" w:ascii="宋体" w:hAnsi="宋体" w:eastAsia="宋体" w:cs="宋体"/>
          <w:i/>
          <w:color w:val="auto"/>
          <w:kern w:val="0"/>
          <w:szCs w:val="21"/>
          <w:highlight w:val="none"/>
          <w:u w:val="single"/>
        </w:rPr>
        <w:t>；</w:t>
      </w:r>
    </w:p>
    <w:p w14:paraId="523F9FEF">
      <w:pPr>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（4）营业执照副本</w:t>
      </w:r>
      <w:r>
        <w:rPr>
          <w:rFonts w:hint="eastAsia" w:ascii="宋体" w:hAnsi="宋体" w:eastAsia="宋体" w:cs="宋体"/>
          <w:b/>
          <w:bCs/>
          <w:i/>
          <w:color w:val="auto"/>
          <w:kern w:val="0"/>
          <w:szCs w:val="21"/>
          <w:highlight w:val="none"/>
          <w:u w:val="single"/>
        </w:rPr>
        <w:t>（复印件加盖供应商公章）</w:t>
      </w:r>
    </w:p>
    <w:p w14:paraId="67464C65">
      <w:pPr>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（5）依法缴纳职</w:t>
      </w:r>
      <w:r>
        <w:rPr>
          <w:rFonts w:hint="eastAsia" w:ascii="宋体" w:hAnsi="宋体" w:eastAsia="宋体" w:cs="宋体"/>
          <w:i/>
          <w:color w:val="auto"/>
          <w:kern w:val="0"/>
          <w:szCs w:val="21"/>
          <w:highlight w:val="none"/>
          <w:u w:val="single"/>
        </w:rPr>
        <w:t>工社会保障资金的证明材料</w:t>
      </w:r>
      <w:r>
        <w:rPr>
          <w:rFonts w:hint="eastAsia" w:ascii="宋体" w:hAnsi="宋体" w:eastAsia="宋体" w:cs="宋体"/>
          <w:b/>
          <w:bCs/>
          <w:i/>
          <w:color w:val="auto"/>
          <w:kern w:val="0"/>
          <w:szCs w:val="21"/>
          <w:highlight w:val="none"/>
          <w:u w:val="single"/>
        </w:rPr>
        <w:t>(复印件加盖供应商公章</w:t>
      </w:r>
      <w:r>
        <w:rPr>
          <w:rFonts w:hint="eastAsia" w:ascii="宋体" w:hAnsi="宋体" w:eastAsia="宋体" w:cs="宋体"/>
          <w:i/>
          <w:color w:val="auto"/>
          <w:kern w:val="0"/>
          <w:szCs w:val="21"/>
          <w:highlight w:val="none"/>
          <w:u w:val="single"/>
        </w:rPr>
        <w:t>)(税务、银行或社会保险基金管理部门出具的近三个月</w:t>
      </w:r>
      <w:r>
        <w:rPr>
          <w:rFonts w:hint="eastAsia" w:ascii="宋体" w:hAnsi="宋体" w:eastAsia="宋体" w:cs="宋体"/>
          <w:b/>
          <w:bCs/>
          <w:i/>
          <w:color w:val="auto"/>
          <w:kern w:val="0"/>
          <w:szCs w:val="21"/>
          <w:highlight w:val="none"/>
          <w:u w:val="single"/>
        </w:rPr>
        <w:t>（202</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年</w:t>
      </w:r>
      <w:r>
        <w:rPr>
          <w:rFonts w:hint="eastAsia" w:ascii="宋体" w:hAnsi="宋体" w:eastAsia="宋体" w:cs="宋体"/>
          <w:b/>
          <w:bCs/>
          <w:i/>
          <w:color w:val="auto"/>
          <w:kern w:val="0"/>
          <w:szCs w:val="21"/>
          <w:highlight w:val="none"/>
          <w:u w:val="single"/>
          <w:lang w:val="en-US" w:eastAsia="zh-CN"/>
        </w:rPr>
        <w:t>3</w:t>
      </w:r>
      <w:r>
        <w:rPr>
          <w:rFonts w:hint="eastAsia" w:ascii="宋体" w:hAnsi="宋体" w:eastAsia="宋体" w:cs="宋体"/>
          <w:b/>
          <w:bCs/>
          <w:i/>
          <w:color w:val="auto"/>
          <w:kern w:val="0"/>
          <w:szCs w:val="21"/>
          <w:highlight w:val="none"/>
          <w:u w:val="single"/>
        </w:rPr>
        <w:t>月至202</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年</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月）</w:t>
      </w:r>
      <w:r>
        <w:rPr>
          <w:rFonts w:hint="eastAsia" w:ascii="宋体" w:hAnsi="宋体" w:eastAsia="宋体" w:cs="宋体"/>
          <w:i/>
          <w:color w:val="auto"/>
          <w:kern w:val="0"/>
          <w:szCs w:val="21"/>
          <w:highlight w:val="none"/>
          <w:u w:val="single"/>
        </w:rPr>
        <w:t>内任意一个月缴纳职工社会保障资金的缴款凭证或缴款证明)</w:t>
      </w:r>
    </w:p>
    <w:p w14:paraId="168CE0A6">
      <w:pPr>
        <w:spacing w:line="360" w:lineRule="auto"/>
        <w:ind w:firstLine="420" w:firstLineChars="200"/>
        <w:rPr>
          <w:rFonts w:hint="eastAsia" w:ascii="宋体" w:hAnsi="宋体" w:eastAsia="宋体" w:cs="宋体"/>
          <w:b/>
          <w:bCs/>
          <w:i/>
          <w:color w:val="auto"/>
          <w:kern w:val="0"/>
          <w:szCs w:val="21"/>
          <w:highlight w:val="none"/>
          <w:u w:val="single"/>
        </w:rPr>
      </w:pPr>
      <w:r>
        <w:rPr>
          <w:rFonts w:hint="eastAsia" w:ascii="宋体" w:hAnsi="宋体" w:eastAsia="宋体" w:cs="宋体"/>
          <w:i/>
          <w:color w:val="auto"/>
          <w:kern w:val="0"/>
          <w:szCs w:val="21"/>
          <w:highlight w:val="none"/>
          <w:u w:val="single"/>
        </w:rPr>
        <w:t>（6）供应商近三个月</w:t>
      </w:r>
      <w:r>
        <w:rPr>
          <w:rFonts w:hint="eastAsia" w:ascii="宋体" w:hAnsi="宋体" w:eastAsia="宋体" w:cs="宋体"/>
          <w:b/>
          <w:bCs/>
          <w:i/>
          <w:color w:val="auto"/>
          <w:kern w:val="0"/>
          <w:szCs w:val="21"/>
          <w:highlight w:val="none"/>
          <w:u w:val="single"/>
        </w:rPr>
        <w:t>（202</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年</w:t>
      </w:r>
      <w:r>
        <w:rPr>
          <w:rFonts w:hint="eastAsia" w:ascii="宋体" w:hAnsi="宋体" w:eastAsia="宋体" w:cs="宋体"/>
          <w:b/>
          <w:bCs/>
          <w:i/>
          <w:color w:val="auto"/>
          <w:kern w:val="0"/>
          <w:szCs w:val="21"/>
          <w:highlight w:val="none"/>
          <w:u w:val="single"/>
          <w:lang w:val="en-US" w:eastAsia="zh-CN"/>
        </w:rPr>
        <w:t>3</w:t>
      </w:r>
      <w:r>
        <w:rPr>
          <w:rFonts w:hint="eastAsia" w:ascii="宋体" w:hAnsi="宋体" w:eastAsia="宋体" w:cs="宋体"/>
          <w:b/>
          <w:bCs/>
          <w:i/>
          <w:color w:val="auto"/>
          <w:kern w:val="0"/>
          <w:szCs w:val="21"/>
          <w:highlight w:val="none"/>
          <w:u w:val="single"/>
        </w:rPr>
        <w:t>月至202</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年</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月）</w:t>
      </w:r>
      <w:r>
        <w:rPr>
          <w:rFonts w:hint="eastAsia" w:ascii="宋体" w:hAnsi="宋体" w:eastAsia="宋体" w:cs="宋体"/>
          <w:i/>
          <w:color w:val="auto"/>
          <w:kern w:val="0"/>
          <w:szCs w:val="21"/>
          <w:highlight w:val="none"/>
          <w:u w:val="single"/>
        </w:rPr>
        <w:t>内任意一</w:t>
      </w:r>
      <w:r>
        <w:rPr>
          <w:rFonts w:hint="eastAsia" w:ascii="宋体" w:hAnsi="宋体" w:eastAsia="宋体" w:cs="宋体"/>
          <w:i/>
          <w:color w:val="auto"/>
          <w:kern w:val="0"/>
          <w:szCs w:val="21"/>
          <w:highlight w:val="none"/>
          <w:u w:val="single"/>
        </w:rPr>
        <w:t>个月依法纳税的缴款凭证</w:t>
      </w:r>
      <w:r>
        <w:rPr>
          <w:rFonts w:hint="eastAsia" w:ascii="宋体" w:hAnsi="宋体" w:eastAsia="宋体" w:cs="宋体"/>
          <w:b/>
          <w:bCs/>
          <w:i/>
          <w:color w:val="auto"/>
          <w:kern w:val="0"/>
          <w:szCs w:val="21"/>
          <w:highlight w:val="none"/>
          <w:u w:val="single"/>
        </w:rPr>
        <w:t>(复印件加盖供应商公章)</w:t>
      </w:r>
    </w:p>
    <w:p w14:paraId="04AC371A">
      <w:pPr>
        <w:shd w:val="clear" w:color="auto" w:fill="auto"/>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（7）上一年度财务报告（成立不满一年不需提供，如2024年度财务审计报告未出，可提供2023年财务审计报告）</w:t>
      </w:r>
      <w:r>
        <w:rPr>
          <w:rFonts w:hint="eastAsia" w:ascii="宋体" w:hAnsi="宋体" w:eastAsia="宋体" w:cs="宋体"/>
          <w:b/>
          <w:bCs/>
          <w:i/>
          <w:color w:val="auto"/>
          <w:kern w:val="0"/>
          <w:szCs w:val="21"/>
          <w:highlight w:val="none"/>
          <w:u w:val="single"/>
        </w:rPr>
        <w:t>(复印件加盖供应商公章)</w:t>
      </w:r>
    </w:p>
    <w:p w14:paraId="59E74A54">
      <w:pPr>
        <w:spacing w:line="360" w:lineRule="auto"/>
        <w:ind w:firstLine="420" w:firstLineChars="200"/>
        <w:rPr>
          <w:rFonts w:hint="eastAsia" w:ascii="宋体" w:hAnsi="宋体" w:eastAsia="宋体" w:cs="宋体"/>
          <w:b/>
          <w:bCs/>
          <w:i/>
          <w:color w:val="auto"/>
          <w:kern w:val="0"/>
          <w:szCs w:val="21"/>
          <w:highlight w:val="none"/>
          <w:u w:val="single"/>
        </w:rPr>
      </w:pPr>
      <w:r>
        <w:rPr>
          <w:rFonts w:hint="eastAsia" w:ascii="宋体" w:hAnsi="宋体" w:eastAsia="宋体" w:cs="宋体"/>
          <w:i/>
          <w:color w:val="auto"/>
          <w:kern w:val="0"/>
          <w:szCs w:val="21"/>
          <w:highlight w:val="none"/>
          <w:u w:val="single"/>
        </w:rPr>
        <w:t>（8）供应商参加本次采购活动前3年内在经营活动中没有重大违法记录的书面声明（</w:t>
      </w:r>
      <w:r>
        <w:rPr>
          <w:rFonts w:hint="eastAsia" w:ascii="宋体" w:hAnsi="宋体" w:eastAsia="宋体" w:cs="宋体"/>
          <w:b/>
          <w:bCs/>
          <w:i/>
          <w:color w:val="auto"/>
          <w:kern w:val="0"/>
          <w:szCs w:val="21"/>
          <w:highlight w:val="none"/>
          <w:u w:val="single"/>
        </w:rPr>
        <w:t>原件）</w:t>
      </w:r>
    </w:p>
    <w:p w14:paraId="2BB056B7">
      <w:pPr>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（9）未被“信用中国”网站（www.creditchina.gov.cn）、“中国政府采购网"(www.ccgp.gov.cn)列入失信被执行人、重大税收违法案件当事人名单、政府采购严重违法失信行为记录名单</w:t>
      </w:r>
      <w:r>
        <w:rPr>
          <w:rFonts w:hint="eastAsia" w:ascii="宋体" w:hAnsi="宋体" w:eastAsia="宋体" w:cs="宋体"/>
          <w:b/>
          <w:bCs/>
          <w:i/>
          <w:iCs/>
          <w:color w:val="auto"/>
          <w:kern w:val="0"/>
          <w:szCs w:val="21"/>
          <w:highlight w:val="none"/>
          <w:u w:val="single"/>
          <w:lang w:val="en"/>
        </w:rPr>
        <w:t>（提供网页查询截图并加盖供应商公章，查询时间为自公告发布至开标截止时间前任意时间）</w:t>
      </w:r>
    </w:p>
    <w:p w14:paraId="5DFFDC0F">
      <w:pPr>
        <w:spacing w:line="360" w:lineRule="auto"/>
        <w:ind w:firstLine="420" w:firstLineChars="200"/>
        <w:rPr>
          <w:rFonts w:hint="eastAsia" w:ascii="宋体" w:hAnsi="宋体" w:eastAsia="宋体" w:cs="宋体"/>
          <w:b/>
          <w:bCs/>
          <w:i/>
          <w:color w:val="auto"/>
          <w:kern w:val="0"/>
          <w:szCs w:val="21"/>
          <w:highlight w:val="none"/>
          <w:u w:val="single"/>
        </w:rPr>
      </w:pPr>
      <w:r>
        <w:rPr>
          <w:rFonts w:hint="eastAsia" w:ascii="宋体" w:hAnsi="宋体" w:eastAsia="宋体" w:cs="宋体"/>
          <w:i/>
          <w:color w:val="auto"/>
          <w:kern w:val="0"/>
          <w:szCs w:val="21"/>
          <w:highlight w:val="none"/>
          <w:u w:val="single"/>
        </w:rPr>
        <w:t>（10）供应商信用承诺书</w:t>
      </w:r>
      <w:r>
        <w:rPr>
          <w:rFonts w:hint="eastAsia" w:ascii="宋体" w:hAnsi="宋体" w:eastAsia="宋体" w:cs="宋体"/>
          <w:b/>
          <w:bCs/>
          <w:i/>
          <w:color w:val="auto"/>
          <w:kern w:val="0"/>
          <w:szCs w:val="21"/>
          <w:highlight w:val="none"/>
          <w:u w:val="single"/>
        </w:rPr>
        <w:t>（原件）</w:t>
      </w:r>
    </w:p>
    <w:p w14:paraId="51B4092F">
      <w:pPr>
        <w:numPr>
          <w:ilvl w:val="0"/>
          <w:numId w:val="4"/>
        </w:numPr>
        <w:spacing w:line="360" w:lineRule="auto"/>
        <w:ind w:firstLine="420" w:firstLineChars="200"/>
        <w:jc w:val="left"/>
        <w:rPr>
          <w:rFonts w:hint="eastAsia" w:ascii="宋体" w:hAnsi="宋体" w:eastAsia="宋体" w:cs="宋体"/>
          <w:i/>
          <w:color w:val="auto"/>
          <w:highlight w:val="none"/>
          <w:u w:val="single"/>
        </w:rPr>
      </w:pPr>
      <w:r>
        <w:rPr>
          <w:rFonts w:hint="eastAsia" w:ascii="宋体" w:hAnsi="宋体" w:eastAsia="宋体" w:cs="宋体"/>
          <w:color w:val="auto"/>
          <w:highlight w:val="none"/>
        </w:rPr>
        <w:t>落实采购政策需满足的资格要求：</w:t>
      </w:r>
      <w:r>
        <w:rPr>
          <w:rFonts w:hint="eastAsia" w:ascii="宋体" w:hAnsi="宋体" w:eastAsia="宋体" w:cs="宋体"/>
          <w:i/>
          <w:color w:val="auto"/>
          <w:highlight w:val="none"/>
          <w:u w:val="single"/>
        </w:rPr>
        <w:t>无</w:t>
      </w:r>
    </w:p>
    <w:bookmarkEnd w:id="6"/>
    <w:bookmarkEnd w:id="7"/>
    <w:p w14:paraId="43CC37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cs="Arial"/>
          <w:bCs/>
          <w:i/>
          <w:iCs/>
          <w:color w:val="auto"/>
          <w:szCs w:val="21"/>
          <w:highlight w:val="none"/>
          <w:u w:val="single"/>
        </w:rPr>
        <w:t>供应商为</w:t>
      </w:r>
      <w:r>
        <w:rPr>
          <w:rFonts w:hint="eastAsia" w:ascii="宋体" w:hAnsi="宋体" w:cs="Arial"/>
          <w:bCs/>
          <w:i/>
          <w:iCs/>
          <w:color w:val="auto"/>
          <w:szCs w:val="21"/>
          <w:highlight w:val="none"/>
          <w:u w:val="single"/>
          <w:lang w:val="en-US" w:eastAsia="zh-CN"/>
        </w:rPr>
        <w:t>授权委托人</w:t>
      </w:r>
      <w:r>
        <w:rPr>
          <w:rFonts w:hint="eastAsia" w:ascii="宋体" w:hAnsi="宋体" w:cs="Arial"/>
          <w:bCs/>
          <w:i/>
          <w:iCs/>
          <w:color w:val="auto"/>
          <w:szCs w:val="21"/>
          <w:highlight w:val="none"/>
          <w:u w:val="single"/>
        </w:rPr>
        <w:t>缴纳的</w:t>
      </w:r>
      <w:r>
        <w:rPr>
          <w:rFonts w:hint="eastAsia" w:ascii="宋体" w:hAnsi="宋体" w:cs="宋体"/>
          <w:i/>
          <w:color w:val="auto"/>
          <w:kern w:val="0"/>
          <w:szCs w:val="21"/>
          <w:highlight w:val="none"/>
          <w:u w:val="single"/>
          <w:lang w:eastAsia="zh-CN"/>
        </w:rPr>
        <w:t>202</w:t>
      </w:r>
      <w:r>
        <w:rPr>
          <w:rFonts w:hint="eastAsia" w:ascii="宋体" w:hAnsi="宋体" w:cs="宋体"/>
          <w:i/>
          <w:color w:val="auto"/>
          <w:kern w:val="0"/>
          <w:szCs w:val="21"/>
          <w:highlight w:val="none"/>
          <w:u w:val="single"/>
          <w:lang w:val="en-US" w:eastAsia="zh-CN"/>
        </w:rPr>
        <w:t>5</w:t>
      </w:r>
      <w:r>
        <w:rPr>
          <w:rFonts w:hint="eastAsia" w:ascii="宋体" w:hAnsi="宋体" w:cs="宋体"/>
          <w:i/>
          <w:color w:val="auto"/>
          <w:kern w:val="0"/>
          <w:szCs w:val="21"/>
          <w:highlight w:val="none"/>
          <w:u w:val="single"/>
          <w:lang w:eastAsia="zh-CN"/>
        </w:rPr>
        <w:t>年</w:t>
      </w:r>
      <w:r>
        <w:rPr>
          <w:rFonts w:hint="eastAsia" w:ascii="宋体" w:hAnsi="宋体" w:cs="宋体"/>
          <w:i/>
          <w:color w:val="auto"/>
          <w:kern w:val="0"/>
          <w:szCs w:val="21"/>
          <w:highlight w:val="none"/>
          <w:u w:val="single"/>
          <w:lang w:val="en-US" w:eastAsia="zh-CN"/>
        </w:rPr>
        <w:t>3</w:t>
      </w:r>
      <w:r>
        <w:rPr>
          <w:rFonts w:hint="eastAsia" w:ascii="宋体" w:hAnsi="宋体" w:cs="宋体"/>
          <w:i/>
          <w:color w:val="auto"/>
          <w:kern w:val="0"/>
          <w:szCs w:val="21"/>
          <w:highlight w:val="none"/>
          <w:u w:val="single"/>
          <w:lang w:eastAsia="zh-CN"/>
        </w:rPr>
        <w:t>月至202</w:t>
      </w:r>
      <w:r>
        <w:rPr>
          <w:rFonts w:hint="eastAsia" w:ascii="宋体" w:hAnsi="宋体" w:cs="宋体"/>
          <w:i/>
          <w:color w:val="auto"/>
          <w:kern w:val="0"/>
          <w:szCs w:val="21"/>
          <w:highlight w:val="none"/>
          <w:u w:val="single"/>
          <w:lang w:val="en-US" w:eastAsia="zh-CN"/>
        </w:rPr>
        <w:t>5</w:t>
      </w:r>
      <w:r>
        <w:rPr>
          <w:rFonts w:hint="eastAsia" w:ascii="宋体" w:hAnsi="宋体" w:cs="宋体"/>
          <w:i/>
          <w:color w:val="auto"/>
          <w:kern w:val="0"/>
          <w:szCs w:val="21"/>
          <w:highlight w:val="none"/>
          <w:u w:val="single"/>
          <w:lang w:eastAsia="zh-CN"/>
        </w:rPr>
        <w:t>年</w:t>
      </w:r>
      <w:r>
        <w:rPr>
          <w:rFonts w:hint="eastAsia" w:ascii="宋体" w:hAnsi="宋体" w:cs="宋体"/>
          <w:i/>
          <w:color w:val="auto"/>
          <w:kern w:val="0"/>
          <w:szCs w:val="21"/>
          <w:highlight w:val="none"/>
          <w:u w:val="single"/>
          <w:lang w:val="en-US" w:eastAsia="zh-CN"/>
        </w:rPr>
        <w:t>5</w:t>
      </w:r>
      <w:r>
        <w:rPr>
          <w:rFonts w:hint="eastAsia" w:ascii="宋体" w:hAnsi="宋体" w:cs="宋体"/>
          <w:i/>
          <w:color w:val="auto"/>
          <w:kern w:val="0"/>
          <w:szCs w:val="21"/>
          <w:highlight w:val="none"/>
          <w:u w:val="single"/>
          <w:lang w:eastAsia="zh-CN"/>
        </w:rPr>
        <w:t>月</w:t>
      </w:r>
      <w:r>
        <w:rPr>
          <w:rFonts w:hint="eastAsia" w:ascii="宋体" w:hAnsi="宋体" w:cs="Arial"/>
          <w:bCs/>
          <w:i/>
          <w:iCs/>
          <w:color w:val="auto"/>
          <w:szCs w:val="21"/>
          <w:highlight w:val="none"/>
          <w:u w:val="single"/>
        </w:rPr>
        <w:t>任意一个月的</w:t>
      </w:r>
      <w:r>
        <w:rPr>
          <w:rFonts w:hint="eastAsia" w:ascii="宋体" w:hAnsi="宋体" w:cs="Arial"/>
          <w:bCs/>
          <w:i/>
          <w:iCs/>
          <w:color w:val="auto"/>
          <w:szCs w:val="21"/>
          <w:highlight w:val="none"/>
          <w:u w:val="single"/>
        </w:rPr>
        <w:t>社保证明</w:t>
      </w:r>
      <w:r>
        <w:rPr>
          <w:rFonts w:hint="eastAsia" w:ascii="宋体" w:hAnsi="宋体" w:cs="Arial"/>
          <w:b/>
          <w:bCs/>
          <w:i/>
          <w:iCs/>
          <w:color w:val="auto"/>
          <w:szCs w:val="21"/>
          <w:highlight w:val="none"/>
          <w:u w:val="single"/>
        </w:rPr>
        <w:t>(复印件加盖供应商公章)</w:t>
      </w:r>
    </w:p>
    <w:p w14:paraId="583451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磋商响应文件的正本和副本中均须提供资格证明文件的复印件。磋商响应文件中所有要求提供资格证明文件原件的，请单独封装，并在封袋上注明“资格证明文件原件”和响应文件一同递交。资格证明文件须清晰可辨，若有缺失或不清晰，将导致投标被拒绝且不允许在开标后补正。</w:t>
      </w:r>
    </w:p>
    <w:p w14:paraId="6357D8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4、拒绝下述供应商参加本次采购活动：</w:t>
      </w:r>
    </w:p>
    <w:p w14:paraId="147EAF8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（1）供应商单位负责人为同一人或者存在直接控股、管理关系的不同供应商，不得参加同一合同项下的采购活动。</w:t>
      </w:r>
    </w:p>
    <w:p w14:paraId="3B3BB7BB">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14:paraId="6BD1F2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（3）供应商被“信用中国”网站（www.creditchina.gov.cn）、“中国政府采购网"(www.ccgp.gov.cn)列入失信被执行人、重大税收违法案件当事人名单、采购严重违法失信行为记录名单。</w:t>
      </w:r>
    </w:p>
    <w:p w14:paraId="7A3884ED">
      <w:pPr>
        <w:tabs>
          <w:tab w:val="left" w:pos="900"/>
        </w:tabs>
        <w:spacing w:line="360" w:lineRule="auto"/>
        <w:rPr>
          <w:rFonts w:hint="eastAsia" w:ascii="宋体" w:hAnsi="宋体" w:cs="宋体"/>
          <w:b/>
          <w:bCs/>
          <w:color w:val="auto"/>
          <w:szCs w:val="21"/>
          <w:highlight w:val="none"/>
        </w:rPr>
      </w:pPr>
      <w:bookmarkStart w:id="8" w:name="_Toc35393631"/>
      <w:bookmarkStart w:id="9" w:name="_Toc35393800"/>
      <w:r>
        <w:rPr>
          <w:rFonts w:hint="eastAsia" w:ascii="宋体" w:hAnsi="宋体" w:cs="宋体"/>
          <w:b/>
          <w:bCs/>
          <w:color w:val="auto"/>
          <w:szCs w:val="21"/>
          <w:highlight w:val="none"/>
        </w:rPr>
        <w:t>三、获取</w:t>
      </w:r>
      <w:r>
        <w:rPr>
          <w:rFonts w:hint="eastAsia" w:ascii="宋体" w:hAnsi="宋体" w:cs="宋体"/>
          <w:b/>
          <w:bCs/>
          <w:color w:val="auto"/>
          <w:szCs w:val="21"/>
          <w:highlight w:val="none"/>
        </w:rPr>
        <w:t>竞争性磋商文件</w:t>
      </w:r>
      <w:bookmarkEnd w:id="8"/>
      <w:bookmarkEnd w:id="9"/>
    </w:p>
    <w:p w14:paraId="2B30EE4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21 </w:t>
      </w:r>
      <w:r>
        <w:rPr>
          <w:rFonts w:hint="eastAsia" w:ascii="宋体" w:hAnsi="宋体" w:cs="宋体"/>
          <w:color w:val="auto"/>
          <w:szCs w:val="21"/>
          <w:highlight w:val="none"/>
        </w:rPr>
        <w:t xml:space="preserve">日 (北京时间)      </w:t>
      </w:r>
    </w:p>
    <w:p w14:paraId="7B2CC5A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2、地点：</w:t>
      </w:r>
      <w:r>
        <w:rPr>
          <w:rFonts w:hint="eastAsia" w:ascii="宋体" w:hAnsi="宋体" w:eastAsia="宋体" w:cs="Times New Roman"/>
          <w:color w:val="auto"/>
          <w:szCs w:val="21"/>
          <w:highlight w:val="none"/>
          <w:u w:val="none"/>
          <w:lang w:eastAsia="zh-CN"/>
        </w:rPr>
        <w:t>“扬州市公共资源交易平台邗江分中心国企采购栏目”、“扬州维扬发展投资有限公司网站”</w:t>
      </w:r>
    </w:p>
    <w:p w14:paraId="08B9839A">
      <w:pPr>
        <w:spacing w:line="360" w:lineRule="auto"/>
        <w:ind w:firstLine="420" w:firstLineChars="200"/>
        <w:rPr>
          <w:rFonts w:hint="eastAsia"/>
          <w:color w:val="auto"/>
          <w:highlight w:val="none"/>
        </w:rPr>
      </w:pPr>
      <w:r>
        <w:rPr>
          <w:rFonts w:hint="eastAsia" w:ascii="宋体" w:hAnsi="宋体" w:cs="宋体"/>
          <w:color w:val="auto"/>
          <w:szCs w:val="21"/>
          <w:highlight w:val="none"/>
        </w:rPr>
        <w:t>3、方式：</w:t>
      </w:r>
      <w:bookmarkStart w:id="10" w:name="_Toc28359005"/>
      <w:bookmarkStart w:id="11" w:name="_Toc38985266"/>
      <w:r>
        <w:rPr>
          <w:rFonts w:hint="eastAsia" w:ascii="宋体" w:hAnsi="宋体" w:cs="宋体"/>
          <w:color w:val="auto"/>
          <w:szCs w:val="21"/>
          <w:highlight w:val="none"/>
        </w:rPr>
        <w:t>自行免费下载磋商文件。供应商如确定参加磋商，请如实填写《供应商参加磋商确认函》，并加盖供应商公章拍照或扫描发送至邮箱进行登记（电子邮箱：</w:t>
      </w:r>
      <w:r>
        <w:rPr>
          <w:rFonts w:hint="eastAsia" w:ascii="宋体" w:hAnsi="宋体" w:eastAsia="宋体" w:cs="宋体"/>
          <w:color w:val="auto"/>
          <w:szCs w:val="21"/>
          <w:highlight w:val="none"/>
          <w:lang w:val="en-US" w:eastAsia="zh-CN"/>
        </w:rPr>
        <w:t>785419524</w:t>
      </w:r>
      <w:r>
        <w:rPr>
          <w:rFonts w:hint="eastAsia" w:ascii="宋体" w:hAnsi="宋体" w:eastAsia="宋体" w:cs="宋体"/>
          <w:color w:val="auto"/>
          <w:szCs w:val="21"/>
          <w:highlight w:val="none"/>
        </w:rPr>
        <w:t>@qq.com</w:t>
      </w:r>
      <w:r>
        <w:rPr>
          <w:rFonts w:hint="eastAsia" w:ascii="宋体" w:hAnsi="宋体" w:cs="宋体"/>
          <w:color w:val="auto"/>
          <w:szCs w:val="21"/>
          <w:highlight w:val="none"/>
        </w:rPr>
        <w:t>，邮件标题请备注公司全称</w:t>
      </w:r>
      <w:r>
        <w:rPr>
          <w:rFonts w:ascii="宋体" w:hAnsi="宋体" w:cs="宋体"/>
          <w:color w:val="auto"/>
          <w:szCs w:val="21"/>
          <w:highlight w:val="none"/>
        </w:rPr>
        <w:t>+</w:t>
      </w:r>
      <w:r>
        <w:rPr>
          <w:rFonts w:hint="eastAsia" w:ascii="宋体" w:hAnsi="宋体" w:cs="宋体"/>
          <w:color w:val="auto"/>
          <w:szCs w:val="21"/>
          <w:highlight w:val="none"/>
        </w:rPr>
        <w:t>项目名称，联系电话：</w:t>
      </w:r>
      <w:r>
        <w:rPr>
          <w:rFonts w:hint="eastAsia" w:ascii="宋体" w:hAnsi="宋体" w:eastAsia="宋体" w:cs="宋体"/>
          <w:color w:val="auto"/>
          <w:szCs w:val="21"/>
          <w:highlight w:val="none"/>
          <w:lang w:val="en-US" w:eastAsia="zh-CN"/>
        </w:rPr>
        <w:t>0514-80820678</w:t>
      </w:r>
      <w:r>
        <w:rPr>
          <w:rFonts w:hint="eastAsia" w:ascii="宋体" w:hAnsi="宋体" w:cs="宋体"/>
          <w:color w:val="auto"/>
          <w:szCs w:val="21"/>
          <w:highlight w:val="none"/>
        </w:rPr>
        <w:t>），提交确认函截止时间202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日17:30。同时需与采购代理机构经办人确认是否收到《供应商参加磋商确认函》，如供应商未按上述要求去做，将自行承</w:t>
      </w:r>
      <w:r>
        <w:rPr>
          <w:rFonts w:hint="eastAsia" w:ascii="宋体" w:hAnsi="宋体" w:cs="宋体"/>
          <w:color w:val="auto"/>
          <w:szCs w:val="21"/>
          <w:highlight w:val="none"/>
        </w:rPr>
        <w:t>担所产生的风险。</w:t>
      </w:r>
      <w:r>
        <w:rPr>
          <w:rFonts w:hint="eastAsia" w:cs="Arial"/>
          <w:color w:val="auto"/>
          <w:spacing w:val="-6"/>
          <w:szCs w:val="21"/>
          <w:highlight w:val="none"/>
        </w:rPr>
        <w:t>未登记（提交确认函）者、超过时限者不得前来投标，内容不全者后果自负。</w:t>
      </w:r>
      <w:r>
        <w:rPr>
          <w:rFonts w:hint="eastAsia" w:ascii="宋体" w:hAnsi="宋体" w:cs="宋体"/>
          <w:color w:val="auto"/>
          <w:szCs w:val="21"/>
          <w:highlight w:val="none"/>
        </w:rPr>
        <w:t>有关本次磋商的事项若存在变动或修改，敬请及时关注</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ascii="宋体" w:hAnsi="宋体" w:cs="宋体"/>
          <w:color w:val="auto"/>
          <w:szCs w:val="21"/>
          <w:highlight w:val="none"/>
        </w:rPr>
        <w:t>发布的信息或更正公告。</w:t>
      </w:r>
    </w:p>
    <w:p w14:paraId="33A80215">
      <w:pPr>
        <w:pStyle w:val="11"/>
        <w:spacing w:before="0" w:after="0" w:line="360" w:lineRule="auto"/>
        <w:jc w:val="left"/>
        <w:rPr>
          <w:rFonts w:ascii="宋体" w:hAnsi="宋体" w:eastAsia="宋体" w:cs="宋体"/>
          <w:color w:val="auto"/>
          <w:sz w:val="21"/>
          <w:szCs w:val="21"/>
          <w:highlight w:val="none"/>
          <w:lang w:val="en-US" w:eastAsia="zh-CN"/>
        </w:rPr>
      </w:pPr>
      <w:bookmarkStart w:id="12" w:name="_Toc28359092"/>
      <w:bookmarkStart w:id="13" w:name="_Toc35393632"/>
      <w:bookmarkStart w:id="14" w:name="_Toc28359015"/>
      <w:bookmarkStart w:id="15" w:name="_Toc35393801"/>
      <w:r>
        <w:rPr>
          <w:rFonts w:hint="eastAsia" w:ascii="宋体" w:hAnsi="宋体" w:eastAsia="宋体" w:cs="宋体"/>
          <w:color w:val="auto"/>
          <w:sz w:val="21"/>
          <w:szCs w:val="21"/>
          <w:highlight w:val="none"/>
        </w:rPr>
        <w:t>四、提交响应文件</w:t>
      </w:r>
      <w:bookmarkEnd w:id="12"/>
      <w:bookmarkEnd w:id="13"/>
      <w:bookmarkEnd w:id="14"/>
      <w:bookmarkEnd w:id="15"/>
      <w:r>
        <w:rPr>
          <w:rFonts w:hint="eastAsia" w:ascii="宋体" w:hAnsi="宋体" w:eastAsia="宋体" w:cs="宋体"/>
          <w:color w:val="auto"/>
          <w:sz w:val="21"/>
          <w:szCs w:val="21"/>
          <w:highlight w:val="none"/>
          <w:lang w:val="en-US" w:eastAsia="zh-CN"/>
        </w:rPr>
        <w:t>截止时间和地点</w:t>
      </w:r>
    </w:p>
    <w:p w14:paraId="0D1195DE">
      <w:pPr>
        <w:spacing w:line="360" w:lineRule="auto"/>
        <w:ind w:firstLine="420" w:firstLineChars="200"/>
        <w:rPr>
          <w:rFonts w:hint="eastAsia" w:ascii="宋体" w:hAnsi="宋体" w:cs="宋体"/>
          <w:iCs/>
          <w:color w:val="auto"/>
          <w:szCs w:val="21"/>
          <w:highlight w:val="none"/>
        </w:rPr>
      </w:pPr>
      <w:r>
        <w:rPr>
          <w:rFonts w:hint="eastAsia" w:ascii="宋体" w:hAnsi="宋体" w:cs="宋体"/>
          <w:color w:val="auto"/>
          <w:szCs w:val="21"/>
          <w:highlight w:val="none"/>
        </w:rPr>
        <w:t>1、截止时</w:t>
      </w:r>
      <w:r>
        <w:rPr>
          <w:rFonts w:hint="eastAsia" w:ascii="宋体" w:hAnsi="宋体" w:cs="宋体"/>
          <w:color w:val="auto"/>
          <w:szCs w:val="21"/>
          <w:highlight w:val="none"/>
        </w:rPr>
        <w:t>间：2025年05月27日09点30分</w:t>
      </w:r>
      <w:r>
        <w:rPr>
          <w:rFonts w:hint="eastAsia" w:ascii="宋体" w:hAnsi="宋体" w:cs="宋体"/>
          <w:bCs/>
          <w:color w:val="auto"/>
          <w:szCs w:val="21"/>
          <w:highlight w:val="none"/>
        </w:rPr>
        <w:t>（北京时间）</w:t>
      </w:r>
    </w:p>
    <w:p w14:paraId="7399EB4F">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2、提交地点：</w:t>
      </w:r>
      <w:r>
        <w:rPr>
          <w:rFonts w:hint="eastAsia" w:ascii="宋体" w:hAnsi="宋体" w:cs="宋体"/>
          <w:color w:val="auto"/>
          <w:szCs w:val="21"/>
          <w:highlight w:val="none"/>
          <w:lang w:val="en-US" w:eastAsia="zh-CN"/>
        </w:rPr>
        <w:t>江</w:t>
      </w:r>
      <w:r>
        <w:rPr>
          <w:rFonts w:hint="eastAsia" w:ascii="宋体" w:hAnsi="宋体" w:cs="宋体"/>
          <w:color w:val="auto"/>
          <w:szCs w:val="21"/>
          <w:highlight w:val="none"/>
        </w:rPr>
        <w:t>苏志诚工程咨询</w:t>
      </w:r>
      <w:r>
        <w:rPr>
          <w:rFonts w:hint="eastAsia" w:ascii="宋体" w:hAnsi="宋体" w:cs="宋体"/>
          <w:color w:val="auto"/>
          <w:szCs w:val="21"/>
          <w:highlight w:val="none"/>
        </w:rPr>
        <w:t>管理有限公司三楼开标室（扬州市文昌西路305号金都汇商务楼3楼）</w:t>
      </w:r>
    </w:p>
    <w:p w14:paraId="5D48CD4A">
      <w:pPr>
        <w:pStyle w:val="11"/>
        <w:spacing w:before="0" w:after="0" w:line="360" w:lineRule="auto"/>
        <w:jc w:val="left"/>
        <w:rPr>
          <w:rFonts w:ascii="宋体" w:hAnsi="宋体" w:eastAsia="宋体" w:cs="宋体"/>
          <w:color w:val="auto"/>
          <w:sz w:val="21"/>
          <w:szCs w:val="21"/>
          <w:highlight w:val="none"/>
          <w:lang w:val="en-US" w:eastAsia="zh-CN"/>
        </w:rPr>
      </w:pPr>
      <w:bookmarkStart w:id="16" w:name="_Toc28359093"/>
      <w:bookmarkStart w:id="17" w:name="_Toc35393802"/>
      <w:bookmarkStart w:id="18" w:name="_Toc28359016"/>
      <w:bookmarkStart w:id="19" w:name="_Toc35393633"/>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开启</w:t>
      </w:r>
      <w:bookmarkEnd w:id="16"/>
      <w:bookmarkEnd w:id="17"/>
      <w:bookmarkEnd w:id="18"/>
      <w:bookmarkEnd w:id="19"/>
      <w:r>
        <w:rPr>
          <w:rFonts w:hint="eastAsia" w:ascii="宋体" w:hAnsi="宋体" w:eastAsia="宋体" w:cs="宋体"/>
          <w:color w:val="auto"/>
          <w:sz w:val="21"/>
          <w:szCs w:val="21"/>
          <w:highlight w:val="none"/>
          <w:lang w:val="en-US" w:eastAsia="zh-CN"/>
        </w:rPr>
        <w:t>时间和地点</w:t>
      </w:r>
    </w:p>
    <w:p w14:paraId="67E96462">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1、开启时间：2025年05月27日09点30分</w:t>
      </w:r>
      <w:r>
        <w:rPr>
          <w:rFonts w:hint="eastAsia" w:ascii="宋体" w:hAnsi="宋体" w:cs="宋体"/>
          <w:bCs/>
          <w:color w:val="auto"/>
          <w:szCs w:val="21"/>
          <w:highlight w:val="none"/>
        </w:rPr>
        <w:t>（北京时间）</w:t>
      </w:r>
    </w:p>
    <w:p w14:paraId="385C72F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2、开启地点：</w:t>
      </w:r>
      <w:r>
        <w:rPr>
          <w:rFonts w:hint="eastAsia" w:ascii="宋体" w:hAnsi="宋体" w:cs="宋体"/>
          <w:color w:val="auto"/>
          <w:szCs w:val="21"/>
          <w:highlight w:val="none"/>
        </w:rPr>
        <w:t>江苏志诚工程咨询管理有限公司三楼开标室（扬州市文昌西路305号金都汇商务楼3楼）</w:t>
      </w:r>
    </w:p>
    <w:p w14:paraId="5B62D819">
      <w:pPr>
        <w:pStyle w:val="11"/>
        <w:spacing w:before="0" w:after="0" w:line="360" w:lineRule="auto"/>
        <w:jc w:val="left"/>
        <w:rPr>
          <w:rFonts w:hint="eastAsia" w:ascii="宋体" w:hAnsi="宋体" w:eastAsia="宋体" w:cs="宋体"/>
          <w:color w:val="auto"/>
          <w:sz w:val="21"/>
          <w:szCs w:val="21"/>
          <w:highlight w:val="none"/>
        </w:rPr>
      </w:pPr>
      <w:bookmarkStart w:id="20" w:name="_Toc28359017"/>
      <w:bookmarkStart w:id="21" w:name="_Toc28359094"/>
      <w:bookmarkStart w:id="22" w:name="_Toc35393803"/>
      <w:bookmarkStart w:id="23" w:name="_Toc35393634"/>
      <w:r>
        <w:rPr>
          <w:rFonts w:hint="eastAsia" w:ascii="宋体" w:hAnsi="宋体" w:eastAsia="宋体" w:cs="宋体"/>
          <w:color w:val="auto"/>
          <w:sz w:val="21"/>
          <w:szCs w:val="21"/>
          <w:highlight w:val="none"/>
        </w:rPr>
        <w:t>六、公告期限</w:t>
      </w:r>
      <w:bookmarkEnd w:id="20"/>
      <w:bookmarkEnd w:id="21"/>
      <w:bookmarkEnd w:id="22"/>
      <w:bookmarkEnd w:id="23"/>
    </w:p>
    <w:p w14:paraId="4C63F0A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自本竞争性磋商公告发布之日起5个工作日。</w:t>
      </w:r>
    </w:p>
    <w:p w14:paraId="24EA5032">
      <w:pPr>
        <w:pStyle w:val="11"/>
        <w:spacing w:before="0" w:after="0" w:line="360" w:lineRule="auto"/>
        <w:jc w:val="left"/>
        <w:rPr>
          <w:rFonts w:hint="eastAsia" w:ascii="宋体" w:hAnsi="宋体" w:cs="宋体"/>
          <w:color w:val="auto"/>
          <w:kern w:val="0"/>
          <w:szCs w:val="21"/>
          <w:highlight w:val="none"/>
        </w:rPr>
      </w:pPr>
      <w:bookmarkStart w:id="24" w:name="_Toc35393635"/>
      <w:bookmarkStart w:id="25" w:name="_Toc35393804"/>
      <w:r>
        <w:rPr>
          <w:rFonts w:hint="eastAsia" w:ascii="宋体" w:hAnsi="宋体" w:eastAsia="宋体" w:cs="宋体"/>
          <w:color w:val="auto"/>
          <w:sz w:val="21"/>
          <w:szCs w:val="21"/>
          <w:highlight w:val="none"/>
        </w:rPr>
        <w:t>七、其他补充事宜</w:t>
      </w:r>
      <w:bookmarkEnd w:id="10"/>
      <w:bookmarkEnd w:id="11"/>
      <w:bookmarkEnd w:id="24"/>
      <w:bookmarkEnd w:id="25"/>
    </w:p>
    <w:p w14:paraId="28D5722F">
      <w:pPr>
        <w:widowControl/>
        <w:spacing w:line="360" w:lineRule="auto"/>
        <w:ind w:firstLine="420"/>
        <w:jc w:val="left"/>
        <w:rPr>
          <w:rFonts w:hint="eastAsia" w:ascii="宋体" w:hAnsi="宋体" w:cs="宋体"/>
          <w:color w:val="auto"/>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集中考察或召开答疑会：无</w:t>
      </w:r>
    </w:p>
    <w:p w14:paraId="581F7F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2、本次响应文件制作份数要求：纸质版一式三份(一份正本，两份副本) ，每份响应文件须清楚标明“正本”或“副本”字样，一旦副本与正本不符，以正本为准。电子版响应文件一份(一般应为pdf格式，U盘形式</w:t>
      </w:r>
      <w:r>
        <w:rPr>
          <w:rFonts w:hint="eastAsia" w:ascii="宋体" w:hAnsi="宋体" w:cs="宋体"/>
          <w:b/>
          <w:bCs/>
          <w:color w:val="auto"/>
          <w:szCs w:val="21"/>
          <w:highlight w:val="none"/>
        </w:rPr>
        <w:t>（单独密封）</w:t>
      </w:r>
      <w:r>
        <w:rPr>
          <w:rFonts w:hint="eastAsia" w:ascii="宋体" w:hAnsi="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532B9A58">
      <w:pPr>
        <w:spacing w:line="360" w:lineRule="auto"/>
        <w:ind w:firstLine="525" w:firstLineChars="250"/>
        <w:rPr>
          <w:rFonts w:hint="eastAsia" w:ascii="宋体" w:hAnsi="宋体" w:cs="宋体"/>
          <w:color w:val="auto"/>
          <w:szCs w:val="21"/>
          <w:highlight w:val="none"/>
        </w:rPr>
      </w:pPr>
      <w:bookmarkStart w:id="26" w:name="_Toc35393627"/>
      <w:bookmarkEnd w:id="26"/>
      <w:bookmarkStart w:id="27" w:name="_Toc28359085"/>
      <w:bookmarkEnd w:id="27"/>
      <w:bookmarkStart w:id="28" w:name="_Toc35393796"/>
      <w:bookmarkEnd w:id="28"/>
      <w:r>
        <w:rPr>
          <w:rFonts w:hint="eastAsia" w:ascii="宋体" w:hAnsi="宋体" w:cs="宋体"/>
          <w:color w:val="auto"/>
          <w:szCs w:val="21"/>
          <w:highlight w:val="none"/>
        </w:rPr>
        <w:t>3、本项目免收磋商保证金</w:t>
      </w:r>
    </w:p>
    <w:p w14:paraId="105D5E16">
      <w:pPr>
        <w:spacing w:line="360" w:lineRule="auto"/>
        <w:ind w:left="1" w:firstLine="525" w:firstLineChars="250"/>
        <w:rPr>
          <w:rFonts w:hint="eastAsia" w:ascii="宋体" w:hAnsi="宋体" w:cs="宋体"/>
          <w:color w:val="auto"/>
          <w:highlight w:val="none"/>
        </w:rPr>
      </w:pPr>
      <w:r>
        <w:rPr>
          <w:rFonts w:hint="eastAsia" w:ascii="宋体" w:hAnsi="宋体" w:cs="宋体"/>
          <w:color w:val="auto"/>
          <w:szCs w:val="21"/>
          <w:highlight w:val="none"/>
        </w:rPr>
        <w:t>4、</w:t>
      </w:r>
      <w:r>
        <w:rPr>
          <w:rFonts w:hint="eastAsia" w:ascii="宋体" w:hAnsi="宋体" w:cs="宋体"/>
          <w:i/>
          <w:color w:val="auto"/>
          <w:szCs w:val="21"/>
          <w:highlight w:val="none"/>
          <w:u w:val="single"/>
        </w:rPr>
        <w:t>本磋商文件中斜体下划线部分为实质性响应条件，为必须遵守的条件，如不满足将作无效响应文件处理。</w:t>
      </w:r>
    </w:p>
    <w:p w14:paraId="3392DECF">
      <w:pPr>
        <w:pStyle w:val="11"/>
        <w:spacing w:before="0" w:after="0" w:line="360" w:lineRule="auto"/>
        <w:jc w:val="left"/>
        <w:rPr>
          <w:rFonts w:hint="eastAsia" w:ascii="宋体" w:hAnsi="宋体" w:eastAsia="宋体" w:cs="宋体"/>
          <w:color w:val="auto"/>
          <w:sz w:val="21"/>
          <w:szCs w:val="21"/>
          <w:highlight w:val="none"/>
        </w:rPr>
      </w:pPr>
      <w:bookmarkStart w:id="29" w:name="_Toc28359095"/>
      <w:bookmarkStart w:id="30" w:name="_Toc28359018"/>
      <w:bookmarkStart w:id="31" w:name="_Toc35393636"/>
      <w:bookmarkStart w:id="32" w:name="_Toc35393805"/>
      <w:r>
        <w:rPr>
          <w:rFonts w:hint="eastAsia" w:ascii="宋体" w:hAnsi="宋体" w:eastAsia="宋体" w:cs="宋体"/>
          <w:color w:val="auto"/>
          <w:sz w:val="21"/>
          <w:szCs w:val="21"/>
          <w:highlight w:val="none"/>
        </w:rPr>
        <w:t>八、凡对本次采购提出询问，请按以下方式联系</w:t>
      </w:r>
      <w:bookmarkEnd w:id="29"/>
      <w:bookmarkEnd w:id="30"/>
      <w:bookmarkEnd w:id="31"/>
      <w:bookmarkEnd w:id="32"/>
    </w:p>
    <w:p w14:paraId="6F657006">
      <w:pPr>
        <w:pStyle w:val="11"/>
        <w:spacing w:before="0" w:after="0" w:line="360" w:lineRule="auto"/>
        <w:ind w:firstLine="630" w:firstLineChars="300"/>
        <w:jc w:val="left"/>
        <w:rPr>
          <w:rFonts w:hint="eastAsia" w:ascii="宋体" w:hAnsi="宋体" w:eastAsia="宋体" w:cs="宋体"/>
          <w:b w:val="0"/>
          <w:color w:val="auto"/>
          <w:sz w:val="21"/>
          <w:szCs w:val="21"/>
          <w:highlight w:val="none"/>
        </w:rPr>
      </w:pPr>
      <w:bookmarkStart w:id="33" w:name="_Toc28359096"/>
      <w:bookmarkStart w:id="34" w:name="_Toc35393806"/>
      <w:bookmarkStart w:id="35" w:name="_Toc28359019"/>
      <w:bookmarkStart w:id="36" w:name="_Toc35393637"/>
      <w:r>
        <w:rPr>
          <w:rFonts w:hint="eastAsia" w:ascii="宋体" w:hAnsi="宋体" w:eastAsia="宋体" w:cs="宋体"/>
          <w:b w:val="0"/>
          <w:color w:val="auto"/>
          <w:sz w:val="21"/>
          <w:szCs w:val="21"/>
          <w:highlight w:val="none"/>
        </w:rPr>
        <w:t>1、采购人信息</w:t>
      </w:r>
      <w:bookmarkEnd w:id="33"/>
      <w:bookmarkEnd w:id="34"/>
      <w:bookmarkEnd w:id="35"/>
      <w:bookmarkEnd w:id="36"/>
    </w:p>
    <w:p w14:paraId="54DAD77C">
      <w:pPr>
        <w:spacing w:line="360" w:lineRule="auto"/>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名    称：</w:t>
      </w:r>
      <w:r>
        <w:rPr>
          <w:rFonts w:hint="eastAsia" w:ascii="宋体" w:hAnsi="宋体" w:eastAsia="宋体" w:cs="宋体"/>
          <w:color w:val="auto"/>
          <w:highlight w:val="none"/>
          <w:lang w:eastAsia="zh-CN"/>
        </w:rPr>
        <w:t>扬州维投经营管理有限公司</w:t>
      </w:r>
    </w:p>
    <w:p w14:paraId="3E71DDCD">
      <w:pPr>
        <w:pStyle w:val="11"/>
        <w:spacing w:before="0" w:after="0" w:line="360" w:lineRule="auto"/>
        <w:ind w:firstLine="630" w:firstLineChars="30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2、采购代理机构信息</w:t>
      </w:r>
    </w:p>
    <w:p w14:paraId="113479DD">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pacing w:val="-6"/>
          <w:szCs w:val="21"/>
          <w:highlight w:val="none"/>
        </w:rPr>
        <w:t>江苏</w:t>
      </w:r>
      <w:r>
        <w:rPr>
          <w:rFonts w:hint="eastAsia" w:ascii="宋体" w:hAnsi="宋体" w:cs="宋体"/>
          <w:color w:val="auto"/>
          <w:spacing w:val="-6"/>
          <w:szCs w:val="21"/>
          <w:highlight w:val="none"/>
          <w:lang w:val="en-US" w:eastAsia="zh-CN"/>
        </w:rPr>
        <w:t>志诚工程</w:t>
      </w:r>
      <w:r>
        <w:rPr>
          <w:rFonts w:hint="eastAsia" w:ascii="宋体" w:hAnsi="宋体" w:cs="宋体"/>
          <w:color w:val="auto"/>
          <w:spacing w:val="-6"/>
          <w:szCs w:val="21"/>
          <w:highlight w:val="none"/>
        </w:rPr>
        <w:t>咨询管理有限公司</w:t>
      </w:r>
      <w:r>
        <w:rPr>
          <w:rFonts w:hint="eastAsia" w:ascii="宋体" w:hAnsi="宋体" w:cs="宋体"/>
          <w:color w:val="auto"/>
          <w:szCs w:val="21"/>
          <w:highlight w:val="none"/>
        </w:rPr>
        <w:t xml:space="preserve"> </w:t>
      </w:r>
    </w:p>
    <w:p w14:paraId="6627D0A2">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none"/>
        </w:rPr>
        <w:t xml:space="preserve">扬州市文昌西路305号金都汇商务楼3楼 </w:t>
      </w:r>
    </w:p>
    <w:p w14:paraId="1971286E">
      <w:pPr>
        <w:spacing w:line="360" w:lineRule="auto"/>
        <w:ind w:firstLine="840" w:firstLineChars="400"/>
        <w:rPr>
          <w:rFonts w:ascii="宋体" w:hAnsi="宋体" w:eastAsia="宋体" w:cs="宋体"/>
          <w:color w:val="auto"/>
          <w:szCs w:val="21"/>
          <w:highlight w:val="none"/>
          <w:lang w:val="en-US"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val="en-US" w:eastAsia="zh-CN"/>
        </w:rPr>
        <w:t>耿帆</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联系电话：</w:t>
      </w:r>
      <w:r>
        <w:rPr>
          <w:rFonts w:hint="eastAsia" w:ascii="宋体" w:hAnsi="宋体" w:eastAsia="宋体" w:cs="宋体"/>
          <w:color w:val="auto"/>
          <w:szCs w:val="21"/>
          <w:highlight w:val="none"/>
          <w:lang w:val="en-US" w:eastAsia="zh-CN"/>
        </w:rPr>
        <w:t>0514-80820678</w:t>
      </w:r>
    </w:p>
    <w:p w14:paraId="43EC78DE">
      <w:pPr>
        <w:spacing w:line="360" w:lineRule="auto"/>
        <w:rPr>
          <w:rFonts w:hint="eastAsia" w:ascii="宋体" w:hAnsi="宋体" w:eastAsia="宋体" w:cs="宋体"/>
          <w:color w:val="auto"/>
          <w:highlight w:val="none"/>
        </w:rPr>
      </w:pPr>
    </w:p>
    <w:bookmarkEnd w:id="0"/>
    <w:bookmarkEnd w:id="1"/>
    <w:p w14:paraId="26AA1751">
      <w:pPr>
        <w:pStyle w:val="11"/>
        <w:spacing w:before="0" w:after="0" w:line="360" w:lineRule="auto"/>
        <w:jc w:val="both"/>
        <w:rPr>
          <w:rFonts w:hint="eastAsia" w:ascii="宋体" w:hAnsi="宋体" w:eastAsia="宋体" w:cs="宋体"/>
          <w:bCs/>
          <w:color w:val="auto"/>
          <w:sz w:val="36"/>
          <w:szCs w:val="36"/>
          <w:highlight w:val="none"/>
        </w:rPr>
      </w:pPr>
      <w:bookmarkStart w:id="37" w:name="_Toc14577347"/>
      <w:bookmarkStart w:id="38" w:name="_Toc61149549"/>
      <w:bookmarkStart w:id="39" w:name="_Toc513029209"/>
    </w:p>
    <w:p w14:paraId="1CB25C38">
      <w:pPr>
        <w:pStyle w:val="11"/>
        <w:spacing w:before="0" w:after="0" w:line="360" w:lineRule="auto"/>
        <w:jc w:val="both"/>
        <w:rPr>
          <w:rFonts w:hint="eastAsia" w:ascii="宋体" w:hAnsi="宋体" w:eastAsia="宋体" w:cs="宋体"/>
          <w:bCs/>
          <w:color w:val="auto"/>
          <w:sz w:val="36"/>
          <w:szCs w:val="36"/>
          <w:highlight w:val="none"/>
        </w:rPr>
      </w:pPr>
    </w:p>
    <w:p w14:paraId="10BA86D8">
      <w:pPr>
        <w:pStyle w:val="11"/>
        <w:spacing w:before="0" w:after="0" w:line="360" w:lineRule="auto"/>
        <w:jc w:val="both"/>
        <w:rPr>
          <w:rFonts w:hint="eastAsia" w:ascii="宋体" w:hAnsi="宋体" w:eastAsia="宋体" w:cs="宋体"/>
          <w:bCs/>
          <w:color w:val="auto"/>
          <w:sz w:val="36"/>
          <w:szCs w:val="36"/>
          <w:highlight w:val="none"/>
        </w:rPr>
      </w:pPr>
    </w:p>
    <w:p w14:paraId="7C8B222D">
      <w:pPr>
        <w:pStyle w:val="11"/>
        <w:spacing w:before="0" w:after="0" w:line="360" w:lineRule="auto"/>
        <w:jc w:val="both"/>
        <w:rPr>
          <w:rFonts w:hint="eastAsia" w:ascii="宋体" w:hAnsi="宋体" w:eastAsia="宋体" w:cs="宋体"/>
          <w:bCs/>
          <w:color w:val="auto"/>
          <w:sz w:val="36"/>
          <w:szCs w:val="36"/>
          <w:highlight w:val="none"/>
        </w:rPr>
      </w:pPr>
    </w:p>
    <w:p w14:paraId="33F23DDF">
      <w:pPr>
        <w:spacing w:line="360" w:lineRule="auto"/>
        <w:jc w:val="center"/>
        <w:rPr>
          <w:rFonts w:hint="eastAsia" w:ascii="宋体" w:hAnsi="宋体" w:eastAsia="宋体" w:cs="宋体"/>
          <w:bCs/>
          <w:color w:val="auto"/>
          <w:szCs w:val="21"/>
          <w:highlight w:val="none"/>
        </w:rPr>
      </w:pPr>
    </w:p>
    <w:p w14:paraId="33ED46D5">
      <w:pPr>
        <w:pStyle w:val="11"/>
        <w:spacing w:before="0" w:after="0" w:line="360" w:lineRule="auto"/>
        <w:jc w:val="both"/>
        <w:rPr>
          <w:rFonts w:hint="eastAsia" w:ascii="宋体" w:hAnsi="宋体" w:eastAsia="宋体" w:cs="宋体"/>
          <w:bCs/>
          <w:color w:val="auto"/>
          <w:sz w:val="36"/>
          <w:szCs w:val="36"/>
          <w:highlight w:val="none"/>
        </w:rPr>
      </w:pPr>
    </w:p>
    <w:p w14:paraId="4673EE74">
      <w:pPr>
        <w:pStyle w:val="12"/>
        <w:rPr>
          <w:rFonts w:hint="eastAsia"/>
          <w:color w:val="auto"/>
          <w:highlight w:val="none"/>
        </w:rPr>
      </w:pPr>
    </w:p>
    <w:p w14:paraId="2A2335A0">
      <w:pPr>
        <w:pStyle w:val="11"/>
        <w:spacing w:before="0" w:after="0"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 w:val="36"/>
          <w:szCs w:val="36"/>
          <w:highlight w:val="none"/>
        </w:rPr>
        <w:t>第二章  磋商须知</w:t>
      </w:r>
    </w:p>
    <w:p w14:paraId="1DB4DC9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（参加竞争性磋商的供应商以下简称“磋商供应商”）</w:t>
      </w:r>
    </w:p>
    <w:bookmarkEnd w:id="37"/>
    <w:bookmarkEnd w:id="38"/>
    <w:bookmarkEnd w:id="39"/>
    <w:p w14:paraId="4966BB73">
      <w:pPr>
        <w:tabs>
          <w:tab w:val="left" w:pos="900"/>
        </w:tabs>
        <w:spacing w:line="360" w:lineRule="auto"/>
        <w:ind w:firstLine="422" w:firstLineChars="200"/>
        <w:rPr>
          <w:rFonts w:hint="eastAsia" w:ascii="宋体" w:hAnsi="宋体" w:eastAsia="宋体" w:cs="宋体"/>
          <w:b/>
          <w:color w:val="auto"/>
          <w:szCs w:val="21"/>
          <w:highlight w:val="none"/>
        </w:rPr>
      </w:pPr>
      <w:bookmarkStart w:id="40" w:name="_Toc20823309"/>
      <w:bookmarkStart w:id="41" w:name="_Toc16938553"/>
      <w:bookmarkStart w:id="42" w:name="_Toc513029237"/>
      <w:r>
        <w:rPr>
          <w:rFonts w:hint="eastAsia" w:ascii="宋体" w:hAnsi="宋体" w:eastAsia="宋体" w:cs="宋体"/>
          <w:b/>
          <w:color w:val="auto"/>
          <w:szCs w:val="21"/>
          <w:highlight w:val="none"/>
        </w:rPr>
        <w:t>一、总则</w:t>
      </w:r>
    </w:p>
    <w:p w14:paraId="4384D67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1、适用范围</w:t>
      </w:r>
    </w:p>
    <w:p w14:paraId="2C52F2C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本竞争性磋商文件（以下简称磋商文件）仅适用此项目。</w:t>
      </w:r>
    </w:p>
    <w:p w14:paraId="21CDD79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2、项目采购方式</w:t>
      </w:r>
    </w:p>
    <w:p w14:paraId="099D2EA8">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本次采购采取竞争性磋商的方式。</w:t>
      </w:r>
    </w:p>
    <w:p w14:paraId="4ED2F09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3、合格的磋商供应商</w:t>
      </w:r>
    </w:p>
    <w:p w14:paraId="06530D0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3.1满足本磋商文件“竞争性磋商采购邀请”中合格磋商供应商资格要求的规定。</w:t>
      </w:r>
    </w:p>
    <w:p w14:paraId="223023C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满足本磋商文件实质性要求和条件的规定。</w:t>
      </w:r>
    </w:p>
    <w:p w14:paraId="35C8EFC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4、参加磋商费用</w:t>
      </w:r>
    </w:p>
    <w:p w14:paraId="50512CB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4.1参加磋商供应商应自行承担所有与参加磋商有关的费用。不论最终的成交结果如何，</w:t>
      </w:r>
      <w:r>
        <w:rPr>
          <w:rFonts w:hint="eastAsia" w:ascii="宋体" w:hAnsi="宋体" w:eastAsia="宋体" w:cs="宋体"/>
          <w:color w:val="auto"/>
          <w:szCs w:val="21"/>
          <w:highlight w:val="none"/>
          <w:lang w:eastAsia="zh-CN"/>
        </w:rPr>
        <w:t>江苏志诚工程咨询管理有限公司</w:t>
      </w:r>
      <w:r>
        <w:rPr>
          <w:rFonts w:hint="eastAsia" w:ascii="宋体" w:hAnsi="宋体" w:eastAsia="宋体" w:cs="宋体"/>
          <w:color w:val="auto"/>
          <w:szCs w:val="21"/>
          <w:highlight w:val="none"/>
        </w:rPr>
        <w:t>（以下简称代理机构）和采购人在任何情况下均无义务和责任承担这些费用。</w:t>
      </w:r>
    </w:p>
    <w:p w14:paraId="61A35A4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r>
        <w:rPr>
          <w:rFonts w:hint="eastAsia" w:ascii="宋体" w:hAnsi="宋体" w:eastAsia="宋体" w:cs="宋体"/>
          <w:color w:val="auto"/>
          <w:kern w:val="1"/>
          <w:szCs w:val="21"/>
          <w:highlight w:val="none"/>
        </w:rPr>
        <w:t>本次采购由成交人在领取成交通知书前一次性支付给招标代理机构专家评审费（专家评审费暂按 500 元/人次计取，按实结算（不提供发票）。专家评审费以现金形式支付，专家评审费不在报价中单列，由成交人支付给代理机构。</w:t>
      </w:r>
    </w:p>
    <w:p w14:paraId="00D59C73">
      <w:pPr>
        <w:tabs>
          <w:tab w:val="left" w:pos="900"/>
        </w:tabs>
        <w:spacing w:line="360" w:lineRule="auto"/>
        <w:ind w:firstLine="420" w:firstLineChars="200"/>
        <w:rPr>
          <w:rFonts w:hint="eastAsia" w:ascii="宋体" w:hAnsi="宋体" w:eastAsia="宋体" w:cs="宋体"/>
          <w:color w:val="auto"/>
          <w:szCs w:val="21"/>
          <w:highlight w:val="none"/>
        </w:rPr>
      </w:pPr>
      <w:bookmarkStart w:id="43" w:name="_Toc513029210"/>
      <w:bookmarkStart w:id="44" w:name="_Toc20823282"/>
      <w:bookmarkStart w:id="45" w:name="_Toc16938526"/>
      <w:r>
        <w:rPr>
          <w:rFonts w:hint="eastAsia" w:ascii="宋体" w:hAnsi="宋体" w:eastAsia="宋体" w:cs="宋体"/>
          <w:color w:val="auto"/>
          <w:szCs w:val="21"/>
          <w:highlight w:val="none"/>
        </w:rPr>
        <w:t>5、磋商文件的约束力</w:t>
      </w:r>
    </w:p>
    <w:p w14:paraId="0D5F77B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172FA9F5">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6、磋商文件的询问及修改</w:t>
      </w:r>
    </w:p>
    <w:p w14:paraId="61C737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eastAsia="宋体" w:cs="宋体"/>
          <w:color w:val="auto"/>
          <w:szCs w:val="21"/>
          <w:highlight w:val="none"/>
          <w:u w:val="none"/>
          <w:lang w:eastAsia="zh-CN"/>
        </w:rPr>
        <w:t>扬州市公共资源交易平台邗江分中心国企采购栏目、扬州维扬发展投资有限公司网站</w:t>
      </w:r>
      <w:r>
        <w:rPr>
          <w:rFonts w:hint="eastAsia" w:ascii="宋体" w:hAnsi="宋体" w:eastAsia="宋体" w:cs="宋体"/>
          <w:color w:val="auto"/>
          <w:kern w:val="1"/>
          <w:szCs w:val="21"/>
          <w:highlight w:val="none"/>
        </w:rPr>
        <w:t>”上发布更正公告通知所有获取磋商文件的供应商。不足5日的，代理机构应当顺延提交首次响应文件截止时间</w:t>
      </w:r>
      <w:r>
        <w:rPr>
          <w:rFonts w:hint="eastAsia" w:ascii="宋体" w:hAnsi="宋体" w:eastAsia="宋体" w:cs="宋体"/>
          <w:color w:val="auto"/>
          <w:szCs w:val="21"/>
          <w:highlight w:val="none"/>
        </w:rPr>
        <w:t>。</w:t>
      </w:r>
    </w:p>
    <w:p w14:paraId="129EF15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rPr>
        <w:t>代理机构或采购人可以视采购项目的具体情况，组织供应商进行现场考察或召开磋商前答疑会，但不单独或分别组织只有一个供应商参加的现场考察和答疑会。</w:t>
      </w:r>
    </w:p>
    <w:p w14:paraId="50056A7A">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7、磋商文件的解释</w:t>
      </w:r>
    </w:p>
    <w:p w14:paraId="4D987338">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bCs/>
          <w:color w:val="auto"/>
          <w:szCs w:val="21"/>
          <w:highlight w:val="none"/>
        </w:rPr>
        <w:t>7.1 本磋商文件由代理机构负责解释。</w:t>
      </w:r>
      <w:bookmarkEnd w:id="43"/>
      <w:bookmarkEnd w:id="44"/>
      <w:bookmarkEnd w:id="45"/>
    </w:p>
    <w:p w14:paraId="01D12D57">
      <w:pPr>
        <w:spacing w:line="360" w:lineRule="auto"/>
        <w:ind w:firstLine="527" w:firstLineChars="25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二、磋商响应文件的编制及保证金收取</w:t>
      </w:r>
    </w:p>
    <w:p w14:paraId="7B87434A">
      <w:pPr>
        <w:tabs>
          <w:tab w:val="left" w:pos="900"/>
        </w:tabs>
        <w:spacing w:line="360" w:lineRule="auto"/>
        <w:ind w:firstLine="525" w:firstLineChars="250"/>
        <w:rPr>
          <w:rFonts w:hint="eastAsia" w:ascii="宋体" w:hAnsi="宋体" w:eastAsia="宋体" w:cs="宋体"/>
          <w:color w:val="auto"/>
          <w:szCs w:val="21"/>
          <w:highlight w:val="none"/>
        </w:rPr>
      </w:pPr>
      <w:bookmarkStart w:id="46" w:name="_Toc513029223"/>
      <w:bookmarkStart w:id="47" w:name="_Toc61149561"/>
      <w:bookmarkStart w:id="48" w:name="_Toc14577361"/>
      <w:bookmarkStart w:id="49" w:name="_Toc61149562"/>
      <w:bookmarkStart w:id="50" w:name="_Toc14577362"/>
      <w:bookmarkStart w:id="51" w:name="_Toc513029224"/>
      <w:r>
        <w:rPr>
          <w:rFonts w:hint="eastAsia" w:ascii="宋体" w:hAnsi="宋体" w:eastAsia="宋体" w:cs="宋体"/>
          <w:color w:val="auto"/>
          <w:szCs w:val="21"/>
          <w:highlight w:val="none"/>
        </w:rPr>
        <w:t>1、磋商响应文件份数和签署</w:t>
      </w:r>
      <w:bookmarkEnd w:id="46"/>
      <w:bookmarkEnd w:id="47"/>
      <w:bookmarkEnd w:id="48"/>
    </w:p>
    <w:p w14:paraId="46FBE884">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1.1磋商供应商应严格按照采购邀请要求准备磋商响应文件（以下简称响应文件），每份响应文件须清楚地标明“正本”或“副本”字样。</w:t>
      </w:r>
    </w:p>
    <w:p w14:paraId="6463B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7528C8A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除磋商供应商对错处做必要修改外，响应文件不得行间插字、涂改或增删。如有修改错漏处，必须由响应文件签署人签字或盖章。</w:t>
      </w:r>
    </w:p>
    <w:p w14:paraId="758D9BBF">
      <w:pPr>
        <w:tabs>
          <w:tab w:val="left" w:pos="900"/>
        </w:tabs>
        <w:spacing w:line="360" w:lineRule="auto"/>
        <w:ind w:firstLine="525" w:firstLineChars="250"/>
        <w:rPr>
          <w:rFonts w:hint="eastAsia" w:ascii="宋体" w:hAnsi="宋体" w:eastAsia="宋体" w:cs="宋体"/>
          <w:color w:val="auto"/>
          <w:szCs w:val="21"/>
          <w:highlight w:val="none"/>
        </w:rPr>
      </w:pPr>
      <w:bookmarkStart w:id="52" w:name="_Hlt26954834"/>
      <w:bookmarkEnd w:id="52"/>
      <w:bookmarkStart w:id="53" w:name="_Toc462564074"/>
      <w:bookmarkStart w:id="54" w:name="_Toc513029215"/>
      <w:bookmarkStart w:id="55" w:name="_Toc14577353"/>
      <w:bookmarkStart w:id="56" w:name="_Toc61149555"/>
      <w:bookmarkStart w:id="57" w:name="_Toc14577352"/>
      <w:bookmarkStart w:id="58" w:name="_Toc61149554"/>
      <w:bookmarkStart w:id="59" w:name="_Toc513029214"/>
      <w:bookmarkStart w:id="60" w:name="_Toc462564073"/>
      <w:r>
        <w:rPr>
          <w:rFonts w:hint="eastAsia" w:ascii="宋体" w:hAnsi="宋体" w:eastAsia="宋体" w:cs="宋体"/>
          <w:color w:val="auto"/>
          <w:szCs w:val="21"/>
          <w:highlight w:val="none"/>
        </w:rPr>
        <w:t>2、响应文件</w:t>
      </w:r>
      <w:bookmarkEnd w:id="53"/>
      <w:bookmarkEnd w:id="54"/>
      <w:bookmarkEnd w:id="55"/>
      <w:bookmarkEnd w:id="56"/>
      <w:r>
        <w:rPr>
          <w:rFonts w:hint="eastAsia" w:ascii="宋体" w:hAnsi="宋体" w:eastAsia="宋体" w:cs="宋体"/>
          <w:color w:val="auto"/>
          <w:szCs w:val="21"/>
          <w:highlight w:val="none"/>
        </w:rPr>
        <w:t>编制要求</w:t>
      </w:r>
    </w:p>
    <w:bookmarkEnd w:id="57"/>
    <w:bookmarkEnd w:id="58"/>
    <w:bookmarkEnd w:id="59"/>
    <w:bookmarkEnd w:id="60"/>
    <w:p w14:paraId="2F6BCF12">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556D9C2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除技术性能另有规定外，响应文件所使用的度量衡单位，均须采用国家法定计量单位。</w:t>
      </w:r>
    </w:p>
    <w:p w14:paraId="235D5063">
      <w:pPr>
        <w:tabs>
          <w:tab w:val="left" w:pos="900"/>
        </w:tabs>
        <w:spacing w:line="360" w:lineRule="auto"/>
        <w:ind w:firstLine="525" w:firstLineChars="250"/>
        <w:rPr>
          <w:rFonts w:hint="eastAsia" w:ascii="宋体" w:hAnsi="宋体" w:eastAsia="宋体" w:cs="宋体"/>
          <w:color w:val="auto"/>
          <w:szCs w:val="21"/>
          <w:highlight w:val="none"/>
        </w:rPr>
      </w:pPr>
      <w:bookmarkStart w:id="61" w:name="_Hlt26670357"/>
      <w:bookmarkEnd w:id="61"/>
      <w:bookmarkStart w:id="62" w:name="_Hlt26954836"/>
      <w:bookmarkEnd w:id="62"/>
      <w:bookmarkStart w:id="63" w:name="_Toc513029219"/>
      <w:bookmarkStart w:id="64" w:name="_Toc61149558"/>
      <w:bookmarkStart w:id="65" w:name="_Toc14577357"/>
      <w:bookmarkStart w:id="66" w:name="_Toc14577355"/>
      <w:bookmarkStart w:id="67" w:name="_Toc513029217"/>
      <w:bookmarkStart w:id="68" w:name="_Toc61149557"/>
      <w:r>
        <w:rPr>
          <w:rFonts w:hint="eastAsia" w:ascii="宋体" w:hAnsi="宋体" w:eastAsia="宋体" w:cs="宋体"/>
          <w:color w:val="auto"/>
          <w:szCs w:val="21"/>
          <w:highlight w:val="none"/>
        </w:rPr>
        <w:t>3、参加磋商供应商资格的文件</w:t>
      </w:r>
      <w:bookmarkEnd w:id="63"/>
      <w:bookmarkEnd w:id="64"/>
      <w:bookmarkEnd w:id="65"/>
      <w:r>
        <w:rPr>
          <w:rFonts w:hint="eastAsia" w:ascii="宋体" w:hAnsi="宋体" w:eastAsia="宋体" w:cs="宋体"/>
          <w:color w:val="auto"/>
          <w:szCs w:val="21"/>
          <w:highlight w:val="none"/>
        </w:rPr>
        <w:t>证明</w:t>
      </w:r>
    </w:p>
    <w:p w14:paraId="46801F8C">
      <w:pPr>
        <w:tabs>
          <w:tab w:val="left" w:pos="900"/>
        </w:tabs>
        <w:spacing w:line="360" w:lineRule="auto"/>
        <w:ind w:firstLine="420" w:firstLineChars="200"/>
        <w:rPr>
          <w:rFonts w:hint="eastAsia" w:ascii="宋体" w:hAnsi="宋体" w:eastAsia="宋体" w:cs="宋体"/>
          <w:color w:val="auto"/>
          <w:szCs w:val="21"/>
          <w:highlight w:val="none"/>
        </w:rPr>
      </w:pPr>
      <w:bookmarkStart w:id="69" w:name="_Hlt26668999"/>
      <w:bookmarkEnd w:id="69"/>
      <w:r>
        <w:rPr>
          <w:rFonts w:hint="eastAsia" w:ascii="宋体" w:hAnsi="宋体" w:eastAsia="宋体" w:cs="宋体"/>
          <w:color w:val="auto"/>
          <w:szCs w:val="21"/>
          <w:highlight w:val="none"/>
        </w:rPr>
        <w:t>3.1磋商供应商应提交证明其有资格参加磋商和成交后有能力独立履行合同的文件，并作为其响应文件的一部分。</w:t>
      </w:r>
    </w:p>
    <w:p w14:paraId="05D673A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3.2磋商供应商除必须具有履行合同所需提供的设备以及服务的能力外，还必须具备相应的财务、技术方面的能力。</w:t>
      </w:r>
    </w:p>
    <w:p w14:paraId="0BF8EA51">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3.3磋商供应商应填写并提交磋商文件所附的“资格证明文件”。</w:t>
      </w:r>
    </w:p>
    <w:p w14:paraId="0BCB8030">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4、磋商响应报价</w:t>
      </w:r>
      <w:bookmarkEnd w:id="66"/>
      <w:bookmarkEnd w:id="67"/>
      <w:bookmarkStart w:id="70" w:name="_Hlt26670373"/>
      <w:bookmarkEnd w:id="70"/>
      <w:r>
        <w:rPr>
          <w:rFonts w:hint="eastAsia" w:ascii="宋体" w:hAnsi="宋体" w:eastAsia="宋体" w:cs="宋体"/>
          <w:color w:val="auto"/>
          <w:szCs w:val="21"/>
          <w:highlight w:val="none"/>
        </w:rPr>
        <w:t>表</w:t>
      </w:r>
      <w:bookmarkEnd w:id="68"/>
    </w:p>
    <w:p w14:paraId="051CEB62">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2104AB11">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4.2标的物</w:t>
      </w:r>
    </w:p>
    <w:p w14:paraId="164F65D9">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详见项目需求。</w:t>
      </w:r>
    </w:p>
    <w:p w14:paraId="2A0C55ED">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4.3有关费用处理</w:t>
      </w:r>
    </w:p>
    <w:p w14:paraId="7ABF6ACA">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本次采购磋商供应商的总报价应包括为完成本项目发生的所有费用，本磋商文件中另有规定的除外。</w:t>
      </w:r>
    </w:p>
    <w:p w14:paraId="2F0C7D98">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4.4其它费用处理</w:t>
      </w:r>
    </w:p>
    <w:p w14:paraId="1B9D1428">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磋商文件未列明，而磋商供应商认为必须的费用也须列入报价。</w:t>
      </w:r>
    </w:p>
    <w:p w14:paraId="3E361DEE">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4.5报价采用的货币</w:t>
      </w:r>
    </w:p>
    <w:p w14:paraId="62C4DF36">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响应文件中的单价和总价，无特殊规定的采用人民币报价，以元为单位标注。磋商文件中另有规定的按规定执行。</w:t>
      </w:r>
    </w:p>
    <w:p w14:paraId="17D0DDA3">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磋商响应报价表上的价格应按磋商文件规定填写。</w:t>
      </w:r>
    </w:p>
    <w:p w14:paraId="249882DF">
      <w:pPr>
        <w:tabs>
          <w:tab w:val="left" w:pos="900"/>
        </w:tabs>
        <w:spacing w:line="360" w:lineRule="auto"/>
        <w:ind w:firstLine="525" w:firstLineChars="250"/>
        <w:rPr>
          <w:rFonts w:hint="eastAsia" w:ascii="宋体" w:hAnsi="宋体" w:eastAsia="宋体" w:cs="宋体"/>
          <w:color w:val="auto"/>
          <w:szCs w:val="21"/>
          <w:highlight w:val="none"/>
        </w:rPr>
      </w:pPr>
      <w:bookmarkStart w:id="71" w:name="_Hlt26954731"/>
      <w:bookmarkEnd w:id="71"/>
      <w:bookmarkStart w:id="72" w:name="_Hlt26954842"/>
      <w:bookmarkEnd w:id="72"/>
      <w:bookmarkStart w:id="73" w:name="_Hlt26668983"/>
      <w:bookmarkEnd w:id="73"/>
      <w:bookmarkStart w:id="74" w:name="_Hlt26954848"/>
      <w:bookmarkEnd w:id="74"/>
      <w:bookmarkStart w:id="75" w:name="_Hlt26954846"/>
      <w:bookmarkEnd w:id="75"/>
      <w:bookmarkStart w:id="76" w:name="_Hlt26670482"/>
      <w:bookmarkEnd w:id="76"/>
      <w:bookmarkStart w:id="77" w:name="_Hlt26954844"/>
      <w:bookmarkEnd w:id="77"/>
      <w:bookmarkStart w:id="78" w:name="_Hlt26670425"/>
      <w:bookmarkEnd w:id="78"/>
      <w:bookmarkStart w:id="79" w:name="_Hlt26670403"/>
      <w:bookmarkEnd w:id="79"/>
      <w:bookmarkStart w:id="80" w:name="_Hlt26670486"/>
      <w:bookmarkEnd w:id="80"/>
      <w:bookmarkStart w:id="81" w:name="_Toc513029221"/>
      <w:bookmarkStart w:id="82" w:name="_Toc14577359"/>
      <w:bookmarkStart w:id="83" w:name="_Toc61149559"/>
      <w:r>
        <w:rPr>
          <w:rFonts w:hint="eastAsia" w:ascii="宋体" w:hAnsi="宋体" w:eastAsia="宋体" w:cs="宋体"/>
          <w:color w:val="auto"/>
          <w:szCs w:val="21"/>
          <w:highlight w:val="none"/>
        </w:rPr>
        <w:t>5、项目需求响应方案</w:t>
      </w:r>
    </w:p>
    <w:p w14:paraId="3505FD19">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5.1提供为完成本项目的总体实施方案。</w:t>
      </w:r>
    </w:p>
    <w:p w14:paraId="3F578B10">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5.2对磋商文件中项目需求的技术与商务条款要求逐项作出应答，并提供依据或说明。</w:t>
      </w:r>
    </w:p>
    <w:p w14:paraId="7B1444A7">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5.3磋商供应商认为需要的其他技术文件或说明。</w:t>
      </w:r>
    </w:p>
    <w:p w14:paraId="6E3113A0">
      <w:pPr>
        <w:numPr>
          <w:ilvl w:val="0"/>
          <w:numId w:val="5"/>
        </w:num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bookmarkEnd w:id="81"/>
      <w:bookmarkEnd w:id="82"/>
      <w:bookmarkEnd w:id="83"/>
    </w:p>
    <w:p w14:paraId="325CA656">
      <w:pPr>
        <w:tabs>
          <w:tab w:val="left" w:pos="900"/>
        </w:tabs>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本项目无磋商保证金</w:t>
      </w:r>
    </w:p>
    <w:p w14:paraId="7AB6845D">
      <w:pPr>
        <w:tabs>
          <w:tab w:val="left" w:pos="9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三、磋商响应文件的递交</w:t>
      </w:r>
      <w:bookmarkEnd w:id="49"/>
      <w:bookmarkEnd w:id="50"/>
      <w:bookmarkEnd w:id="51"/>
    </w:p>
    <w:p w14:paraId="2F848995">
      <w:pPr>
        <w:tabs>
          <w:tab w:val="left" w:pos="900"/>
        </w:tabs>
        <w:spacing w:line="360" w:lineRule="auto"/>
        <w:ind w:firstLine="420" w:firstLineChars="200"/>
        <w:rPr>
          <w:rFonts w:hint="eastAsia" w:ascii="宋体" w:hAnsi="宋体" w:eastAsia="宋体" w:cs="宋体"/>
          <w:color w:val="auto"/>
          <w:szCs w:val="21"/>
          <w:highlight w:val="none"/>
        </w:rPr>
      </w:pPr>
      <w:bookmarkStart w:id="84" w:name="_Hlt26954856"/>
      <w:bookmarkEnd w:id="84"/>
      <w:bookmarkStart w:id="85" w:name="_Toc14577363"/>
      <w:bookmarkStart w:id="86" w:name="_Toc462564084"/>
      <w:bookmarkStart w:id="87" w:name="_Toc513029225"/>
      <w:bookmarkStart w:id="88" w:name="_Toc61149563"/>
      <w:r>
        <w:rPr>
          <w:rFonts w:hint="eastAsia" w:ascii="宋体" w:hAnsi="宋体" w:eastAsia="宋体" w:cs="宋体"/>
          <w:color w:val="auto"/>
          <w:szCs w:val="21"/>
          <w:highlight w:val="none"/>
        </w:rPr>
        <w:t>1、响应文件</w:t>
      </w:r>
      <w:bookmarkStart w:id="89" w:name="_Hlt26954743"/>
      <w:bookmarkEnd w:id="89"/>
      <w:r>
        <w:rPr>
          <w:rFonts w:hint="eastAsia" w:ascii="宋体" w:hAnsi="宋体" w:eastAsia="宋体" w:cs="宋体"/>
          <w:color w:val="auto"/>
          <w:szCs w:val="21"/>
          <w:highlight w:val="none"/>
        </w:rPr>
        <w:t>的密封和标记</w:t>
      </w:r>
      <w:bookmarkEnd w:id="85"/>
      <w:bookmarkEnd w:id="86"/>
      <w:bookmarkEnd w:id="87"/>
      <w:bookmarkEnd w:id="88"/>
    </w:p>
    <w:p w14:paraId="26F9A1E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b/>
          <w:color w:val="auto"/>
          <w:szCs w:val="21"/>
          <w:highlight w:val="none"/>
        </w:rPr>
        <w:t>磋商供应商应严格按照采购公告要求的份数准备响应文件，磋商供应商应将响应文件正本和所有副本用单独的封袋密封，</w:t>
      </w:r>
      <w:r>
        <w:rPr>
          <w:rFonts w:hint="eastAsia" w:ascii="宋体" w:hAnsi="宋体" w:eastAsia="宋体" w:cs="宋体"/>
          <w:color w:val="auto"/>
          <w:szCs w:val="21"/>
          <w:highlight w:val="none"/>
        </w:rPr>
        <w:t>封袋上标明“正本”或“副本”字样，并且每份响应文件须清楚地标明“正本”或“副本”字样。一旦正本和副本不符，以正本为准。</w:t>
      </w:r>
    </w:p>
    <w:p w14:paraId="5F6B352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1.2密封的响应文件应：</w:t>
      </w:r>
    </w:p>
    <w:p w14:paraId="191E4C3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（1）按采购邀请中注明的地址送达规定地点；</w:t>
      </w:r>
    </w:p>
    <w:p w14:paraId="0F7C17E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（2）注明参加磋商项目名称、项目编号及参加的分包号（如有）；</w:t>
      </w:r>
    </w:p>
    <w:p w14:paraId="6716A22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（3）密封包装上应写明磋商供应商名称和地址。</w:t>
      </w:r>
    </w:p>
    <w:p w14:paraId="49F97FF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73507CA6">
      <w:pPr>
        <w:tabs>
          <w:tab w:val="left" w:pos="900"/>
        </w:tabs>
        <w:spacing w:line="360" w:lineRule="auto"/>
        <w:ind w:firstLine="420" w:firstLineChars="200"/>
        <w:rPr>
          <w:rFonts w:hint="eastAsia" w:ascii="宋体" w:hAnsi="宋体" w:eastAsia="宋体" w:cs="宋体"/>
          <w:color w:val="auto"/>
          <w:szCs w:val="21"/>
          <w:highlight w:val="none"/>
        </w:rPr>
      </w:pPr>
      <w:bookmarkStart w:id="90" w:name="_Hlt26954752"/>
      <w:bookmarkEnd w:id="90"/>
      <w:bookmarkStart w:id="91" w:name="_Hlt26670496"/>
      <w:bookmarkEnd w:id="91"/>
      <w:bookmarkStart w:id="92" w:name="_Hlt26954858"/>
      <w:bookmarkEnd w:id="92"/>
      <w:bookmarkStart w:id="93" w:name="_Toc513029226"/>
      <w:bookmarkStart w:id="94" w:name="_Toc14577364"/>
      <w:bookmarkStart w:id="95" w:name="_Toc61149564"/>
      <w:r>
        <w:rPr>
          <w:rFonts w:hint="eastAsia" w:ascii="宋体" w:hAnsi="宋体" w:eastAsia="宋体" w:cs="宋体"/>
          <w:color w:val="auto"/>
          <w:szCs w:val="21"/>
          <w:highlight w:val="none"/>
        </w:rPr>
        <w:t>2、</w:t>
      </w:r>
      <w:bookmarkEnd w:id="93"/>
      <w:bookmarkEnd w:id="94"/>
      <w:bookmarkEnd w:id="95"/>
      <w:r>
        <w:rPr>
          <w:rFonts w:hint="eastAsia" w:ascii="宋体" w:hAnsi="宋体" w:eastAsia="宋体" w:cs="宋体"/>
          <w:color w:val="auto"/>
          <w:szCs w:val="21"/>
          <w:highlight w:val="none"/>
        </w:rPr>
        <w:t>响应文件开启时间</w:t>
      </w:r>
    </w:p>
    <w:p w14:paraId="2489644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2.1代理机构收到响应文件的时间不得迟于本磋商文件规定的响应文件接收截止时间。</w:t>
      </w:r>
    </w:p>
    <w:p w14:paraId="66F9D14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4DD58843">
      <w:pPr>
        <w:tabs>
          <w:tab w:val="left" w:pos="900"/>
        </w:tabs>
        <w:spacing w:line="360" w:lineRule="auto"/>
        <w:ind w:firstLine="420" w:firstLineChars="200"/>
        <w:rPr>
          <w:rFonts w:hint="eastAsia" w:ascii="宋体" w:hAnsi="宋体" w:eastAsia="宋体" w:cs="宋体"/>
          <w:color w:val="auto"/>
          <w:szCs w:val="21"/>
          <w:highlight w:val="none"/>
        </w:rPr>
      </w:pPr>
      <w:bookmarkStart w:id="96" w:name="_Hlt26954860"/>
      <w:bookmarkEnd w:id="96"/>
      <w:bookmarkStart w:id="97" w:name="_Toc14577365"/>
      <w:bookmarkStart w:id="98" w:name="_Toc61149565"/>
      <w:bookmarkStart w:id="99" w:name="_Toc513029227"/>
      <w:r>
        <w:rPr>
          <w:rFonts w:hint="eastAsia" w:ascii="宋体" w:hAnsi="宋体" w:eastAsia="宋体" w:cs="宋体"/>
          <w:color w:val="auto"/>
          <w:szCs w:val="21"/>
          <w:highlight w:val="none"/>
        </w:rPr>
        <w:t>3、迟交的响应文件</w:t>
      </w:r>
      <w:bookmarkEnd w:id="97"/>
      <w:bookmarkEnd w:id="98"/>
      <w:bookmarkEnd w:id="99"/>
    </w:p>
    <w:p w14:paraId="2E9DCE3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3.1代理机构将拒绝在规定的响应文件接收截止时间后接收任何响应文件。</w:t>
      </w:r>
    </w:p>
    <w:p w14:paraId="679EBC3D">
      <w:pPr>
        <w:tabs>
          <w:tab w:val="left" w:pos="900"/>
        </w:tabs>
        <w:spacing w:line="360" w:lineRule="auto"/>
        <w:ind w:firstLine="420" w:firstLineChars="200"/>
        <w:rPr>
          <w:rFonts w:hint="eastAsia" w:ascii="宋体" w:hAnsi="宋体" w:eastAsia="宋体" w:cs="宋体"/>
          <w:color w:val="auto"/>
          <w:szCs w:val="21"/>
          <w:highlight w:val="none"/>
        </w:rPr>
      </w:pPr>
      <w:bookmarkStart w:id="100" w:name="_Hlt26954754"/>
      <w:bookmarkEnd w:id="100"/>
      <w:bookmarkStart w:id="101" w:name="_Hlt26954862"/>
      <w:bookmarkEnd w:id="101"/>
      <w:bookmarkStart w:id="102" w:name="_Toc61149566"/>
      <w:bookmarkStart w:id="103" w:name="_Toc14577366"/>
      <w:bookmarkStart w:id="104" w:name="_Toc513029228"/>
      <w:r>
        <w:rPr>
          <w:rFonts w:hint="eastAsia" w:ascii="宋体" w:hAnsi="宋体" w:eastAsia="宋体" w:cs="宋体"/>
          <w:color w:val="auto"/>
          <w:szCs w:val="21"/>
          <w:highlight w:val="none"/>
        </w:rPr>
        <w:t>4、响应文件</w:t>
      </w:r>
      <w:bookmarkStart w:id="105" w:name="_Hlt26670588"/>
      <w:r>
        <w:rPr>
          <w:rFonts w:hint="eastAsia" w:ascii="宋体" w:hAnsi="宋体" w:eastAsia="宋体" w:cs="宋体"/>
          <w:color w:val="auto"/>
          <w:szCs w:val="21"/>
          <w:highlight w:val="none"/>
        </w:rPr>
        <w:t>的修改</w:t>
      </w:r>
      <w:bookmarkEnd w:id="105"/>
      <w:r>
        <w:rPr>
          <w:rFonts w:hint="eastAsia" w:ascii="宋体" w:hAnsi="宋体" w:eastAsia="宋体" w:cs="宋体"/>
          <w:color w:val="auto"/>
          <w:szCs w:val="21"/>
          <w:highlight w:val="none"/>
        </w:rPr>
        <w:t>和撤回</w:t>
      </w:r>
      <w:bookmarkEnd w:id="102"/>
      <w:bookmarkEnd w:id="103"/>
      <w:bookmarkEnd w:id="104"/>
    </w:p>
    <w:p w14:paraId="52E895A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4.1磋商供应商在递交响应文件后，可以修改或撤回其谈判响应文件，但这种修改和撤回，必须在规定的响应文件接收截止时间前，以书面形式送达指定地点。</w:t>
      </w:r>
    </w:p>
    <w:p w14:paraId="26E62EE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4.2磋商供应商的修改或撤回通知书，应按本文件规定进行编制、密封、标记和发送，并应在封套上加注“修改”和“撤回”字样。</w:t>
      </w:r>
    </w:p>
    <w:p w14:paraId="3E80D1D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磋商供应商在提交最后报价之前，可以根据磋商情况退出磋商。</w:t>
      </w:r>
    </w:p>
    <w:p w14:paraId="268609B4">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5、磋商响应有效期</w:t>
      </w:r>
    </w:p>
    <w:p w14:paraId="39D48FF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磋商响应有效期为代理机构规定的响应文件接收截止时间后六十（60）天。磋商响应有效期比规定短的将被视为非实质性响应性而予以拒绝。</w:t>
      </w:r>
    </w:p>
    <w:p w14:paraId="5B4D0D0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受磋商响应有效期约束的所有权利与义务均延长至新的有效期。</w:t>
      </w:r>
    </w:p>
    <w:p w14:paraId="5A62AC1C">
      <w:pPr>
        <w:tabs>
          <w:tab w:val="left" w:pos="9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四、磋商与评审</w:t>
      </w:r>
    </w:p>
    <w:p w14:paraId="3684804A">
      <w:pPr>
        <w:tabs>
          <w:tab w:val="left" w:pos="900"/>
        </w:tabs>
        <w:spacing w:line="360" w:lineRule="auto"/>
        <w:ind w:firstLine="420" w:firstLineChars="200"/>
        <w:rPr>
          <w:rFonts w:hint="eastAsia" w:ascii="宋体" w:hAnsi="宋体" w:eastAsia="宋体" w:cs="宋体"/>
          <w:color w:val="auto"/>
          <w:szCs w:val="21"/>
          <w:highlight w:val="none"/>
        </w:rPr>
      </w:pPr>
      <w:bookmarkStart w:id="106" w:name="_Toc513029230"/>
      <w:bookmarkStart w:id="107" w:name="_Toc20823302"/>
      <w:bookmarkStart w:id="108" w:name="_Toc16938546"/>
      <w:r>
        <w:rPr>
          <w:rFonts w:hint="eastAsia" w:ascii="宋体" w:hAnsi="宋体" w:eastAsia="宋体" w:cs="宋体"/>
          <w:color w:val="auto"/>
          <w:szCs w:val="21"/>
          <w:highlight w:val="none"/>
        </w:rPr>
        <w:t>1、</w:t>
      </w:r>
      <w:bookmarkEnd w:id="106"/>
      <w:bookmarkEnd w:id="107"/>
      <w:bookmarkEnd w:id="108"/>
      <w:r>
        <w:rPr>
          <w:rFonts w:hint="eastAsia" w:ascii="宋体" w:hAnsi="宋体" w:eastAsia="宋体" w:cs="宋体"/>
          <w:color w:val="auto"/>
          <w:szCs w:val="21"/>
          <w:highlight w:val="none"/>
        </w:rPr>
        <w:t>磋商仪式</w:t>
      </w:r>
    </w:p>
    <w:p w14:paraId="13D11DC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1.1代理机构将在采购邀请中规定的时间和地点组织磋商开始仪式，仪式由代理机构主持，磋商供应商应委派携带有效证件的代表准时参加，参加仪式的代表需签名以证明其出席。</w:t>
      </w:r>
    </w:p>
    <w:p w14:paraId="5D5BB82C">
      <w:pPr>
        <w:tabs>
          <w:tab w:val="left" w:pos="900"/>
        </w:tabs>
        <w:spacing w:line="360" w:lineRule="auto"/>
        <w:ind w:firstLine="420" w:firstLineChars="200"/>
        <w:rPr>
          <w:rFonts w:hint="eastAsia" w:ascii="宋体" w:hAnsi="宋体" w:eastAsia="宋体" w:cs="宋体"/>
          <w:color w:val="auto"/>
          <w:szCs w:val="21"/>
          <w:highlight w:val="none"/>
        </w:rPr>
      </w:pPr>
      <w:bookmarkStart w:id="109" w:name="_Toc20823303"/>
      <w:bookmarkStart w:id="110" w:name="_Toc16938547"/>
      <w:bookmarkStart w:id="111" w:name="_Toc513029231"/>
      <w:r>
        <w:rPr>
          <w:rFonts w:hint="eastAsia" w:ascii="宋体" w:hAnsi="宋体" w:eastAsia="宋体" w:cs="宋体"/>
          <w:color w:val="auto"/>
          <w:szCs w:val="21"/>
          <w:highlight w:val="none"/>
        </w:rPr>
        <w:t>2、磋商小组</w:t>
      </w:r>
    </w:p>
    <w:p w14:paraId="5C05175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磋商开始仪式结束后，代理机构将立即组织磋商小组进行评审。</w:t>
      </w:r>
    </w:p>
    <w:p w14:paraId="07B01BD6">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磋商小组由评审专家组成，且人员构成符合有关规定。</w:t>
      </w:r>
    </w:p>
    <w:p w14:paraId="57A08F3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3、磋商评审过程的保密</w:t>
      </w:r>
      <w:bookmarkEnd w:id="109"/>
      <w:bookmarkEnd w:id="110"/>
      <w:bookmarkEnd w:id="111"/>
      <w:r>
        <w:rPr>
          <w:rFonts w:hint="eastAsia" w:ascii="宋体" w:hAnsi="宋体" w:eastAsia="宋体" w:cs="宋体"/>
          <w:color w:val="auto"/>
          <w:szCs w:val="21"/>
          <w:highlight w:val="none"/>
        </w:rPr>
        <w:t>与公正</w:t>
      </w:r>
    </w:p>
    <w:p w14:paraId="4CC769A2">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396FAA2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3.2在磋商评审过程中，磋商供应商不得以任何行为影响磋商评审过程，否则其响应文件将被作为无效响应文件。</w:t>
      </w:r>
    </w:p>
    <w:p w14:paraId="3E69E10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BA24F42">
      <w:pPr>
        <w:tabs>
          <w:tab w:val="left" w:pos="900"/>
        </w:tabs>
        <w:spacing w:line="360" w:lineRule="auto"/>
        <w:ind w:firstLine="420" w:firstLineChars="200"/>
        <w:rPr>
          <w:rFonts w:hint="eastAsia" w:ascii="宋体" w:hAnsi="宋体" w:eastAsia="宋体" w:cs="宋体"/>
          <w:color w:val="auto"/>
          <w:szCs w:val="21"/>
          <w:highlight w:val="none"/>
        </w:rPr>
      </w:pPr>
      <w:bookmarkStart w:id="112" w:name="_Toc513029232"/>
      <w:bookmarkStart w:id="113" w:name="_Toc16938548"/>
      <w:bookmarkStart w:id="114" w:name="_Toc20823304"/>
      <w:r>
        <w:rPr>
          <w:rFonts w:hint="eastAsia" w:ascii="宋体" w:hAnsi="宋体" w:eastAsia="宋体" w:cs="宋体"/>
          <w:color w:val="auto"/>
          <w:szCs w:val="21"/>
          <w:highlight w:val="none"/>
        </w:rPr>
        <w:t>4、评审过程的澄清</w:t>
      </w:r>
      <w:bookmarkEnd w:id="112"/>
      <w:bookmarkEnd w:id="113"/>
      <w:bookmarkEnd w:id="114"/>
      <w:r>
        <w:rPr>
          <w:rFonts w:hint="eastAsia" w:ascii="宋体" w:hAnsi="宋体" w:eastAsia="宋体" w:cs="宋体"/>
          <w:color w:val="auto"/>
          <w:szCs w:val="21"/>
          <w:highlight w:val="none"/>
        </w:rPr>
        <w:t>、说明和更正</w:t>
      </w:r>
    </w:p>
    <w:p w14:paraId="3D35C37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71BD19">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3DC48A0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接到磋商小组澄清要求的供应商如未按规定做出澄清，其风险由供应商自行承担。</w:t>
      </w:r>
    </w:p>
    <w:p w14:paraId="48476BB5">
      <w:pPr>
        <w:tabs>
          <w:tab w:val="left" w:pos="900"/>
        </w:tabs>
        <w:spacing w:line="360" w:lineRule="auto"/>
        <w:ind w:firstLine="420" w:firstLineChars="200"/>
        <w:rPr>
          <w:rFonts w:hint="eastAsia" w:ascii="宋体" w:hAnsi="宋体" w:eastAsia="宋体" w:cs="宋体"/>
          <w:color w:val="auto"/>
          <w:szCs w:val="21"/>
          <w:highlight w:val="none"/>
        </w:rPr>
      </w:pPr>
      <w:bookmarkStart w:id="115" w:name="_Toc20823305"/>
      <w:bookmarkStart w:id="116" w:name="_Toc513029233"/>
      <w:bookmarkStart w:id="117" w:name="_Toc16938549"/>
      <w:r>
        <w:rPr>
          <w:rFonts w:hint="eastAsia" w:ascii="宋体" w:hAnsi="宋体" w:eastAsia="宋体" w:cs="宋体"/>
          <w:color w:val="auto"/>
          <w:szCs w:val="21"/>
          <w:highlight w:val="none"/>
        </w:rPr>
        <w:t>5、对响应文件的初审</w:t>
      </w:r>
      <w:bookmarkEnd w:id="115"/>
      <w:bookmarkEnd w:id="116"/>
      <w:bookmarkEnd w:id="117"/>
    </w:p>
    <w:p w14:paraId="7A7475E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5.1响应文件初审分为资格性检查和符合性检查。</w:t>
      </w:r>
    </w:p>
    <w:p w14:paraId="2A98EE9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资格性检查：依据法律法规和磋商文件的规定，对响应文件中的资格证明文件等进行审查，以确定供应商是否具备参加磋商的资格。</w:t>
      </w:r>
    </w:p>
    <w:p w14:paraId="5AB2FA86">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符合性检查：依据磋商文件的规定，从响应文件的有效性、完整性和对磋商文件的响应程度进行审查，以确定是否对磋商文件的实质性要求作出响应。</w:t>
      </w:r>
    </w:p>
    <w:p w14:paraId="67A0509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4ED4185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7849A1C2">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被认定为未实质性响应磋商文件的响应文件的情形</w:t>
      </w:r>
    </w:p>
    <w:p w14:paraId="6471D68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（1）未按照磋商文件规定要求密封、签署、盖章的；</w:t>
      </w:r>
    </w:p>
    <w:p w14:paraId="521240E6">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（2）供应商在报价时采用选择性报价；</w:t>
      </w:r>
    </w:p>
    <w:p w14:paraId="0E9C247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（3）供应商不具备磋商文件中规定资格要求的；</w:t>
      </w:r>
    </w:p>
    <w:p w14:paraId="4ECCFA0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（4）不符合法律、法规和磋商文件中规定的其他实质性要求和条件的（本磋商文件中斜体且有下划线部分为实质性要求和条件）；</w:t>
      </w:r>
    </w:p>
    <w:p w14:paraId="4AABF68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（5）不可竞争费未按规定计价的；</w:t>
      </w:r>
    </w:p>
    <w:p w14:paraId="363E2AB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（6）其他法律、法规及本磋商文件规定的属未实质性响应的响应文件的情形。</w:t>
      </w:r>
    </w:p>
    <w:p w14:paraId="6641AB82">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2C644324">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7C5AFE14">
      <w:pPr>
        <w:tabs>
          <w:tab w:val="left" w:pos="900"/>
        </w:tabs>
        <w:spacing w:line="360" w:lineRule="auto"/>
        <w:ind w:firstLine="420" w:firstLineChars="200"/>
        <w:rPr>
          <w:rFonts w:hint="eastAsia" w:ascii="宋体" w:hAnsi="宋体" w:eastAsia="宋体" w:cs="宋体"/>
          <w:color w:val="auto"/>
          <w:szCs w:val="21"/>
          <w:highlight w:val="none"/>
        </w:rPr>
      </w:pPr>
      <w:bookmarkStart w:id="118" w:name="_Toc20823306"/>
      <w:bookmarkStart w:id="119" w:name="_Toc513029234"/>
      <w:bookmarkStart w:id="120" w:name="_Toc16938550"/>
      <w:r>
        <w:rPr>
          <w:rFonts w:hint="eastAsia" w:ascii="宋体" w:hAnsi="宋体" w:eastAsia="宋体" w:cs="宋体"/>
          <w:color w:val="auto"/>
          <w:szCs w:val="21"/>
          <w:highlight w:val="none"/>
        </w:rPr>
        <w:t>6、</w:t>
      </w:r>
      <w:bookmarkEnd w:id="118"/>
      <w:bookmarkEnd w:id="119"/>
      <w:bookmarkEnd w:id="120"/>
      <w:r>
        <w:rPr>
          <w:rFonts w:hint="eastAsia" w:ascii="宋体" w:hAnsi="宋体" w:eastAsia="宋体" w:cs="宋体"/>
          <w:color w:val="auto"/>
          <w:szCs w:val="21"/>
          <w:highlight w:val="none"/>
        </w:rPr>
        <w:t>磋商程序及评审方法和标准</w:t>
      </w:r>
    </w:p>
    <w:p w14:paraId="64B4F4C7">
      <w:pPr>
        <w:tabs>
          <w:tab w:val="left" w:pos="900"/>
        </w:tabs>
        <w:spacing w:line="360" w:lineRule="auto"/>
        <w:ind w:firstLine="420" w:firstLineChars="200"/>
        <w:rPr>
          <w:rFonts w:hint="eastAsia" w:ascii="宋体" w:hAnsi="宋体" w:eastAsia="宋体" w:cs="宋体"/>
          <w:color w:val="auto"/>
          <w:szCs w:val="21"/>
          <w:highlight w:val="none"/>
        </w:rPr>
      </w:pPr>
      <w:bookmarkStart w:id="121" w:name="_Toc20823307"/>
      <w:bookmarkStart w:id="122" w:name="_Toc513029235"/>
      <w:bookmarkStart w:id="123" w:name="_Toc16938551"/>
      <w:r>
        <w:rPr>
          <w:rFonts w:hint="eastAsia" w:ascii="宋体" w:hAnsi="宋体" w:eastAsia="宋体" w:cs="宋体"/>
          <w:color w:val="auto"/>
          <w:szCs w:val="21"/>
          <w:highlight w:val="none"/>
        </w:rPr>
        <w:t>6.1磋商程序</w:t>
      </w:r>
    </w:p>
    <w:p w14:paraId="436EFFDE">
      <w:pPr>
        <w:tabs>
          <w:tab w:val="left" w:pos="900"/>
        </w:tabs>
        <w:spacing w:line="360" w:lineRule="auto"/>
        <w:ind w:firstLine="404"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6.1.1 对于通过资格性和符合性审查的供应商，磋商小组所有成员将集中与单一供应商分别进行磋商。</w:t>
      </w:r>
    </w:p>
    <w:p w14:paraId="69AEFCA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0B95E72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2E6FCE7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727ABD36">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2AE026D4">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047D6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评审方法和标准</w:t>
      </w:r>
    </w:p>
    <w:p w14:paraId="0C4E0D9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07CFC1E2">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11747824">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6.2.2评审标准</w:t>
      </w:r>
    </w:p>
    <w:p w14:paraId="39DFECF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见本磋商文件第五章规定。</w:t>
      </w:r>
    </w:p>
    <w:p w14:paraId="4F669FC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6.3采购活动终止的情况</w:t>
      </w:r>
    </w:p>
    <w:p w14:paraId="5D19DC9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出现下列情形之一的，本次竞争性磋商采购活动将被终止：</w:t>
      </w:r>
    </w:p>
    <w:p w14:paraId="43A18CC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5CA72AE8">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34E2928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（3）除本磋商文件第6.1.2条第三款规定的情形外，在采购过程中符合要求的供应商或者报价未超过采购预算的供应商不足3家的。</w:t>
      </w:r>
    </w:p>
    <w:bookmarkEnd w:id="121"/>
    <w:bookmarkEnd w:id="122"/>
    <w:bookmarkEnd w:id="123"/>
    <w:p w14:paraId="2F0D30D8">
      <w:pPr>
        <w:tabs>
          <w:tab w:val="left" w:pos="9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五、成交</w:t>
      </w:r>
    </w:p>
    <w:p w14:paraId="397F7163">
      <w:pPr>
        <w:tabs>
          <w:tab w:val="left" w:pos="900"/>
        </w:tabs>
        <w:spacing w:line="360" w:lineRule="auto"/>
        <w:ind w:firstLine="420" w:firstLineChars="200"/>
        <w:rPr>
          <w:rFonts w:hint="eastAsia" w:ascii="宋体" w:hAnsi="宋体" w:eastAsia="宋体" w:cs="宋体"/>
          <w:color w:val="auto"/>
          <w:szCs w:val="21"/>
          <w:highlight w:val="none"/>
        </w:rPr>
      </w:pPr>
      <w:bookmarkStart w:id="124" w:name="_Toc513029238"/>
      <w:bookmarkStart w:id="125" w:name="_Toc20823310"/>
      <w:bookmarkStart w:id="126" w:name="_Toc16938554"/>
      <w:r>
        <w:rPr>
          <w:rFonts w:hint="eastAsia" w:ascii="宋体" w:hAnsi="宋体" w:eastAsia="宋体" w:cs="宋体"/>
          <w:color w:val="auto"/>
          <w:szCs w:val="21"/>
          <w:highlight w:val="none"/>
        </w:rPr>
        <w:t>1、</w:t>
      </w:r>
      <w:bookmarkEnd w:id="124"/>
      <w:r>
        <w:rPr>
          <w:rFonts w:hint="eastAsia" w:ascii="宋体" w:hAnsi="宋体" w:eastAsia="宋体" w:cs="宋体"/>
          <w:color w:val="auto"/>
          <w:szCs w:val="21"/>
          <w:highlight w:val="none"/>
        </w:rPr>
        <w:t>确定</w:t>
      </w:r>
      <w:bookmarkEnd w:id="125"/>
      <w:bookmarkEnd w:id="126"/>
      <w:r>
        <w:rPr>
          <w:rFonts w:hint="eastAsia" w:ascii="宋体" w:hAnsi="宋体" w:eastAsia="宋体" w:cs="宋体"/>
          <w:color w:val="auto"/>
          <w:szCs w:val="21"/>
          <w:highlight w:val="none"/>
        </w:rPr>
        <w:t>成交单位</w:t>
      </w:r>
    </w:p>
    <w:p w14:paraId="6ECEF694">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3B4F5F6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1.2采购人根据磋商小组推荐的成交候选人确定成交供应商。采购人确定成交供应商后，代理机构将在“</w:t>
      </w:r>
      <w:r>
        <w:rPr>
          <w:rFonts w:hint="eastAsia" w:ascii="宋体" w:hAnsi="宋体" w:eastAsia="宋体" w:cs="宋体"/>
          <w:color w:val="auto"/>
          <w:highlight w:val="none"/>
          <w:u w:val="none"/>
        </w:rPr>
        <w:t>扬州市公共资源交易平台邗江分中心国企采购栏目</w:t>
      </w:r>
      <w:r>
        <w:rPr>
          <w:rFonts w:hint="eastAsia" w:ascii="宋体" w:hAnsi="宋体" w:eastAsia="宋体" w:cs="宋体"/>
          <w:color w:val="auto"/>
          <w:szCs w:val="21"/>
          <w:highlight w:val="none"/>
          <w:u w:val="none"/>
          <w:lang w:eastAsia="zh-CN"/>
        </w:rPr>
        <w:t>、扬州维扬发展投资有限公司网站</w:t>
      </w:r>
      <w:r>
        <w:rPr>
          <w:rFonts w:hint="eastAsia" w:ascii="宋体" w:hAnsi="宋体" w:eastAsia="宋体" w:cs="宋体"/>
          <w:color w:val="auto"/>
          <w:szCs w:val="21"/>
          <w:highlight w:val="none"/>
        </w:rPr>
        <w:t>”发布成交结果公告，公告期限为1个工作日。</w:t>
      </w:r>
    </w:p>
    <w:p w14:paraId="6EDF466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1.3若有充分证据证明，成交供应商出现下列情况之一的，一经查实，将被取消成交资格：</w:t>
      </w:r>
    </w:p>
    <w:p w14:paraId="05BDF1A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（1）提供虚假材料谋取成交的；</w:t>
      </w:r>
    </w:p>
    <w:p w14:paraId="54B3325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（2）与评审专家、采购人、其他供应商或者代理机构工作人员恶意串通的；</w:t>
      </w:r>
    </w:p>
    <w:p w14:paraId="0412AD6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（3）向评审专家、采购人或代理机构工作人员行贿或者提供其他不正当利益的；</w:t>
      </w:r>
    </w:p>
    <w:p w14:paraId="76A6E12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（4）恶意竞争，最终总报价明显低于其自身合理成本且又无法提供证明的；</w:t>
      </w:r>
    </w:p>
    <w:p w14:paraId="6899A288">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（5）不满足本磋商文件规定的实质性要求，但在评审过程中又未被磋商小组发现的；</w:t>
      </w:r>
    </w:p>
    <w:p w14:paraId="1F2E9A93">
      <w:pPr>
        <w:tabs>
          <w:tab w:val="left" w:pos="900"/>
        </w:tabs>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（6）成交后无正当理由拒不与采购人签订采购合同或者未按照磋商文件确定的事项签订合同；</w:t>
      </w:r>
    </w:p>
    <w:p w14:paraId="658FD54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（7）将合同转包；</w:t>
      </w:r>
    </w:p>
    <w:p w14:paraId="59594796">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（8）法律、法规、规章规定的属于成交无效的其他情形。</w:t>
      </w:r>
    </w:p>
    <w:p w14:paraId="3D734CC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2、质疑处理</w:t>
      </w:r>
    </w:p>
    <w:p w14:paraId="16068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2.1磋商供应商认为磋商文件、采购过程和中标或成交结果使自己的权益受到损害的，可以在知道或应知其权益受到损害之日起七个工作日内，以书面形式向采购人或代理机构提出质疑。</w:t>
      </w:r>
    </w:p>
    <w:p w14:paraId="7E00423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2.1.1对可以质疑的磋商文件提出质疑的，应当在获取磋商文件之日或者磋商文件公告期限届满之日起7个工作日内提出。</w:t>
      </w:r>
      <w:r>
        <w:rPr>
          <w:rFonts w:hint="eastAsia" w:ascii="宋体" w:hAnsi="宋体" w:eastAsia="宋体" w:cs="宋体"/>
          <w:color w:val="auto"/>
          <w:szCs w:val="21"/>
          <w:highlight w:val="none"/>
        </w:rPr>
        <w:br w:type="textWrapping" w:clear="all"/>
      </w:r>
      <w:r>
        <w:rPr>
          <w:rFonts w:hint="eastAsia" w:ascii="宋体" w:hAnsi="宋体" w:eastAsia="宋体" w:cs="宋体"/>
          <w:color w:val="auto"/>
          <w:szCs w:val="21"/>
          <w:highlight w:val="none"/>
        </w:rPr>
        <w:t>　　2.1.2对采购过程提出质疑的，为各采购程序环节结束之日起7个工作日内提出。</w:t>
      </w:r>
      <w:r>
        <w:rPr>
          <w:rFonts w:hint="eastAsia" w:ascii="宋体" w:hAnsi="宋体" w:eastAsia="宋体" w:cs="宋体"/>
          <w:color w:val="auto"/>
          <w:szCs w:val="21"/>
          <w:highlight w:val="none"/>
        </w:rPr>
        <w:br w:type="textWrapping" w:clear="all"/>
      </w:r>
      <w:r>
        <w:rPr>
          <w:rFonts w:hint="eastAsia" w:ascii="宋体" w:hAnsi="宋体" w:eastAsia="宋体" w:cs="宋体"/>
          <w:color w:val="auto"/>
          <w:szCs w:val="21"/>
          <w:highlight w:val="none"/>
        </w:rPr>
        <w:t>　　2.1.3对成交结果提出质疑的，为成交结果公告期限届满之日起7个工作日内提出。</w:t>
      </w:r>
    </w:p>
    <w:p w14:paraId="3124ECB5">
      <w:pPr>
        <w:spacing w:line="360" w:lineRule="auto"/>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2.2质疑供应商应在法定质疑期内一次性提出针对同一采购程序环节的质疑。质疑必须按《政府采购法》、《政府采购法实施条例》及《政府采购质疑和投诉办法》等相关规定提交</w:t>
      </w:r>
      <w:r>
        <w:rPr>
          <w:rFonts w:hint="eastAsia" w:ascii="宋体" w:hAnsi="宋体" w:eastAsia="宋体" w:cs="宋体"/>
          <w:color w:val="auto"/>
          <w:spacing w:val="-20"/>
          <w:szCs w:val="21"/>
          <w:highlight w:val="none"/>
        </w:rPr>
        <w:t>。</w:t>
      </w:r>
    </w:p>
    <w:p w14:paraId="1DBE89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3A6DBD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51E7740D">
      <w:pPr>
        <w:spacing w:line="360" w:lineRule="auto"/>
        <w:ind w:firstLine="409" w:firstLineChars="195"/>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13AEE9C7">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2.4供应商提出质疑应当提交质疑函和必要的证明材料。质疑函应当包括下列内容：</w:t>
      </w:r>
    </w:p>
    <w:p w14:paraId="3FD2F5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2.4.1质疑供应商的姓名或者名称、地址、邮编、联系人及联系电话；</w:t>
      </w:r>
    </w:p>
    <w:p w14:paraId="19C9E1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2.4.2质疑项目的名称、编号；</w:t>
      </w:r>
    </w:p>
    <w:p w14:paraId="5F4B1DA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2.4.3具体、明确的质疑事项和与质疑事项相关的请求；</w:t>
      </w:r>
    </w:p>
    <w:p w14:paraId="121E9E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2.4.4事实依据；</w:t>
      </w:r>
    </w:p>
    <w:p w14:paraId="55AA129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2.4.5必要的法律依据；</w:t>
      </w:r>
    </w:p>
    <w:p w14:paraId="65337CD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2.4.6提出质疑的日期。</w:t>
      </w:r>
    </w:p>
    <w:p w14:paraId="5F1D15B8">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函应当署名：质疑人为自然人的，应当由本人签字并附有效身份证明；质疑人为法人或者其他组织的，应当由法定代表人签字并加盖单位公章。质疑人委托代理质疑的，应当向代理机构提交授权委托书，并载明委托代理的具体权限和事项。</w:t>
      </w:r>
    </w:p>
    <w:p w14:paraId="35B043C6">
      <w:pPr>
        <w:spacing w:line="360" w:lineRule="auto"/>
        <w:ind w:firstLine="409" w:firstLineChars="195"/>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《质疑函》及《授权委托书》格式见网址：http://zfcg.yangzhou.gov.cn</w:t>
      </w:r>
    </w:p>
    <w:p w14:paraId="1F8E96BE">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2.5代理机构收到质疑申请后，将对质疑的形式和内容进行审查，如质疑函内容、格式不符合规定，代理机构将告知质疑人进行补正。</w:t>
      </w:r>
    </w:p>
    <w:p w14:paraId="3751E0A9">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2.6质疑人应当在法定质疑期限内进行补正并重新提交质疑函，拒不补正或者在法定期限内未重新提交质疑函的，为无效质疑，代理机构有权不予受理。</w:t>
      </w:r>
    </w:p>
    <w:p w14:paraId="469EB63C">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2709D3CB">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2.8供应商提出书面质疑必须有理、有据，不得恶意质疑或提交虚假质疑。否则，一经查实，代理机构有权依据有关规定，报请监管部门对该供应商进行相应的行政处罚。</w:t>
      </w:r>
    </w:p>
    <w:p w14:paraId="2DABA1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2.9诚实信用</w:t>
      </w:r>
    </w:p>
    <w:p w14:paraId="1D98C5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 供应商之间不得相互串通投标报价，不得妨碍其他供应商的公平竞争，不得损害采购人和其他供应商的合法权益。</w:t>
      </w:r>
    </w:p>
    <w:p w14:paraId="3E5611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供应商不得以向代理机构工作人员、评标委员会成员行贿或者采取其他不正当手段谋取中标。经查实供应商有此行为的，管理部门将供应商列入不良行为记录名单，按照《政府采购法》有关规定处理。</w:t>
      </w:r>
    </w:p>
    <w:p w14:paraId="349879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 供应商提出书面质疑必须有理、有据，不得虚假质疑和恶意质疑，并对质疑内容的真实性承担责任。一经查实，代理机构有权依据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5C98A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 供应商不得虚假承诺，否则，按照提供虚假材料谋取中标成交处理。</w:t>
      </w:r>
    </w:p>
    <w:p w14:paraId="1E9BE7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 供应商应自觉遵守开标、评标纪律，扰乱开标评标现场秩序的，属于失信行为，失信行为将被记入供应商诚信档案。</w:t>
      </w:r>
    </w:p>
    <w:p w14:paraId="490F619F">
      <w:pPr>
        <w:tabs>
          <w:tab w:val="left" w:pos="9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六、合同签订相关事项</w:t>
      </w:r>
    </w:p>
    <w:p w14:paraId="29CBD63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1、签订合同</w:t>
      </w:r>
    </w:p>
    <w:p w14:paraId="61C81AF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l成交供应商确定后，代理机构将向成交供应商发出成交通知书。成交供应商应按成交通知书规定的时间、地点,按照磋商文件确定的事项与采购人签订合同，且不得迟于成交通知书发出之日起三十日内，否则视为放弃，由此给采购人造成损失的，成交供应商还应承担赔偿责任。</w:t>
      </w:r>
    </w:p>
    <w:p w14:paraId="45E9037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磋商文件、成交供应商的响应文件及磋商采购过程中有关澄清、承诺文件均应作为合同附件。</w:t>
      </w:r>
    </w:p>
    <w:p w14:paraId="53E52DA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签订合同后，</w:t>
      </w:r>
      <w:r>
        <w:rPr>
          <w:rFonts w:hint="eastAsia" w:ascii="宋体" w:hAnsi="宋体" w:eastAsia="宋体" w:cs="宋体"/>
          <w:i/>
          <w:color w:val="auto"/>
          <w:szCs w:val="21"/>
          <w:highlight w:val="none"/>
          <w:u w:val="single"/>
        </w:rPr>
        <w:t>成交供应商不得将成交工程或服务进行转包。</w:t>
      </w:r>
      <w:r>
        <w:rPr>
          <w:rFonts w:hint="eastAsia" w:ascii="宋体" w:hAnsi="宋体" w:eastAsia="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358CB0C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2、履约保证金：无</w:t>
      </w:r>
    </w:p>
    <w:p w14:paraId="5E8B3FB4">
      <w:pPr>
        <w:rPr>
          <w:color w:val="auto"/>
          <w:highlight w:val="none"/>
        </w:rPr>
        <w:sectPr>
          <w:headerReference r:id="rId8" w:type="first"/>
          <w:footerReference r:id="rId10" w:type="first"/>
          <w:headerReference r:id="rId7" w:type="default"/>
          <w:footerReference r:id="rId9" w:type="default"/>
          <w:pgSz w:w="11850" w:h="16783"/>
          <w:pgMar w:top="1440" w:right="1080" w:bottom="1440" w:left="1080" w:header="850" w:footer="850" w:gutter="0"/>
          <w:pgNumType w:start="1"/>
          <w:cols w:space="720" w:num="1"/>
        </w:sectPr>
      </w:pPr>
    </w:p>
    <w:bookmarkEnd w:id="40"/>
    <w:bookmarkEnd w:id="41"/>
    <w:bookmarkEnd w:id="42"/>
    <w:p w14:paraId="7C620832">
      <w:pPr>
        <w:pStyle w:val="11"/>
        <w:numPr>
          <w:ilvl w:val="0"/>
          <w:numId w:val="6"/>
        </w:numPr>
        <w:spacing w:before="0" w:after="0" w:line="360" w:lineRule="auto"/>
        <w:jc w:val="center"/>
        <w:rPr>
          <w:rFonts w:hint="eastAsia" w:ascii="宋体" w:hAnsi="宋体" w:eastAsia="宋体" w:cs="Arial"/>
          <w:bCs/>
          <w:color w:val="auto"/>
          <w:sz w:val="36"/>
          <w:szCs w:val="36"/>
          <w:highlight w:val="none"/>
        </w:rPr>
      </w:pPr>
      <w:r>
        <w:rPr>
          <w:rFonts w:hint="eastAsia" w:ascii="宋体" w:hAnsi="宋体" w:eastAsia="宋体" w:cs="Arial"/>
          <w:bCs/>
          <w:color w:val="auto"/>
          <w:sz w:val="36"/>
          <w:szCs w:val="36"/>
          <w:highlight w:val="none"/>
        </w:rPr>
        <w:t>合同条款及格式</w:t>
      </w:r>
    </w:p>
    <w:p w14:paraId="63C56F18">
      <w:pPr>
        <w:keepNext w:val="0"/>
        <w:keepLines w:val="0"/>
        <w:pageBreakBefore w:val="0"/>
        <w:widowControl w:val="0"/>
        <w:kinsoku/>
        <w:wordWrap/>
        <w:overflowPunct/>
        <w:topLinePunct w:val="0"/>
        <w:bidi w:val="0"/>
        <w:spacing w:before="143" w:after="143" w:line="400" w:lineRule="exact"/>
        <w:jc w:val="center"/>
        <w:rPr>
          <w:rFonts w:hint="eastAsia" w:ascii="宋体" w:hAnsi="宋体"/>
          <w:b/>
          <w:color w:val="auto"/>
          <w:kern w:val="0"/>
          <w:szCs w:val="21"/>
          <w:highlight w:val="none"/>
        </w:rPr>
      </w:pPr>
      <w:bookmarkStart w:id="127" w:name="_Toc5978"/>
      <w:r>
        <w:rPr>
          <w:rFonts w:hint="eastAsia" w:ascii="宋体" w:hAnsi="宋体"/>
          <w:b/>
          <w:color w:val="auto"/>
          <w:szCs w:val="21"/>
          <w:highlight w:val="none"/>
        </w:rPr>
        <w:t>采购合同（服务）</w:t>
      </w:r>
      <w:bookmarkEnd w:id="127"/>
    </w:p>
    <w:p w14:paraId="3AE89976">
      <w:pPr>
        <w:keepNext w:val="0"/>
        <w:keepLines w:val="0"/>
        <w:pageBreakBefore w:val="0"/>
        <w:widowControl w:val="0"/>
        <w:kinsoku/>
        <w:wordWrap/>
        <w:overflowPunct/>
        <w:topLinePunct w:val="0"/>
        <w:bidi w:val="0"/>
        <w:spacing w:line="360" w:lineRule="auto"/>
        <w:ind w:left="0" w:leftChars="0"/>
        <w:jc w:val="center"/>
        <w:outlineLvl w:val="0"/>
        <w:rPr>
          <w:rFonts w:hint="eastAsia" w:ascii="宋体" w:hAnsi="宋体"/>
          <w:b/>
          <w:bCs/>
          <w:color w:val="auto"/>
          <w:szCs w:val="21"/>
          <w:highlight w:val="none"/>
        </w:rPr>
      </w:pPr>
    </w:p>
    <w:p w14:paraId="146593D0">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 xml:space="preserve">项目名称：                   </w:t>
      </w:r>
    </w:p>
    <w:p w14:paraId="71E435B9">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甲方（采购人/买方）：</w:t>
      </w:r>
      <w:r>
        <w:rPr>
          <w:rFonts w:hint="eastAsia" w:hAnsi="宋体" w:eastAsia="宋体"/>
          <w:color w:val="auto"/>
          <w:sz w:val="21"/>
          <w:highlight w:val="none"/>
          <w:lang w:eastAsia="zh-CN"/>
        </w:rPr>
        <w:t>扬州维投经营管理有限公司</w:t>
      </w:r>
      <w:r>
        <w:rPr>
          <w:rFonts w:hAnsi="宋体" w:eastAsia="宋体"/>
          <w:color w:val="auto"/>
          <w:sz w:val="21"/>
          <w:highlight w:val="none"/>
        </w:rPr>
        <w:t xml:space="preserve">         </w:t>
      </w:r>
    </w:p>
    <w:p w14:paraId="13B88FAA">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 xml:space="preserve">乙方（供应商/卖方）：              </w:t>
      </w:r>
    </w:p>
    <w:p w14:paraId="242EBEB2">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根据</w:t>
      </w:r>
      <w:r>
        <w:rPr>
          <w:rFonts w:hint="eastAsia" w:hAnsi="宋体" w:eastAsia="宋体"/>
          <w:color w:val="auto"/>
          <w:sz w:val="21"/>
          <w:highlight w:val="none"/>
        </w:rPr>
        <w:t>《中华人民共和国民法典》</w:t>
      </w:r>
      <w:r>
        <w:rPr>
          <w:rFonts w:hAnsi="宋体" w:eastAsia="宋体"/>
          <w:color w:val="auto"/>
          <w:sz w:val="21"/>
          <w:highlight w:val="none"/>
        </w:rPr>
        <w:t>等法律法规的规定，甲乙双方关于本项目磋商结果签订本合同。</w:t>
      </w:r>
    </w:p>
    <w:p w14:paraId="3D8BE1FB">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1、合同标的</w:t>
      </w:r>
    </w:p>
    <w:p w14:paraId="4C0DE1FA">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乙方根据甲方需求，提供下列服务：                      。</w:t>
      </w:r>
    </w:p>
    <w:p w14:paraId="7BE2BB71">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服务内容等要求详见竞争性磋商文件及响应文件。</w:t>
      </w:r>
    </w:p>
    <w:p w14:paraId="1223A349">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2、合同总金额</w:t>
      </w:r>
    </w:p>
    <w:p w14:paraId="5B421BCC">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2.1 本合同金额为（大写）：_______________________________元人民币（¥_____元）。</w:t>
      </w:r>
    </w:p>
    <w:p w14:paraId="30084B0C">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2.2 本合同总金额包括乙方提供的服务及其他有关的为完成本项目发生的所有费用，竞争性磋商文件中另有规定的除外。</w:t>
      </w:r>
    </w:p>
    <w:p w14:paraId="74F007AA">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2.3 在竞争性磋商文件未列明，而乙方认为履行本合同必需的费用也包含在合同总金额中。</w:t>
      </w:r>
    </w:p>
    <w:p w14:paraId="19B3AACB">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2.4 本合同总金额还包含乙方提供的伴随服务/售后服务费用。</w:t>
      </w:r>
    </w:p>
    <w:p w14:paraId="365FFDA5">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3、组成本合同的有关文件</w:t>
      </w:r>
    </w:p>
    <w:p w14:paraId="0A90DE53">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3.1乙方应按竞争性磋商文件规定的时间向甲方提供服务的有关技术资料。</w:t>
      </w:r>
    </w:p>
    <w:p w14:paraId="0322AA4D">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3.2 没有甲方事先书面同意，乙方不得将由甲方提供的有关合同或任何合同条文或资料提供给任何其他人。即使向履行本合同有关的人员提供，也应注意保密并限于履行合同的必需范围。</w:t>
      </w:r>
    </w:p>
    <w:p w14:paraId="0414976C">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3.3 关于本项目的竞争性磋商文件、响应文件以及与本次采购活动方式相适应的文件及有关附件是本合同不可分割的组成部分，这些文件包括但不限于：</w:t>
      </w:r>
    </w:p>
    <w:p w14:paraId="5C6B8499">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 xml:space="preserve">   （1）磋商响应文件；               （2）磋商报价文件；</w:t>
      </w:r>
    </w:p>
    <w:p w14:paraId="157D914D">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 xml:space="preserve">   （3）项目组人员表                 （4）技术参数、商务条款响应及偏离表；</w:t>
      </w:r>
    </w:p>
    <w:p w14:paraId="325E731A">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 xml:space="preserve">   （5）服务承诺；                   （6）成交通知书；</w:t>
      </w:r>
    </w:p>
    <w:p w14:paraId="0F6ECD06">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 xml:space="preserve">   （7）甲乙双方补充协议；           （8）乙方参加磋商时提供的响应文件。</w:t>
      </w:r>
    </w:p>
    <w:p w14:paraId="568911B7">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4、知识产权保证</w:t>
      </w:r>
    </w:p>
    <w:p w14:paraId="742D28FD">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乙方保证甲方在使用、接受本合同服务或其任何一部分时，不受第三方提出侵犯其专利权、版权、商标权和工业设计权等知识产权的起诉。一旦出现侵权，由乙方负全部责任。</w:t>
      </w:r>
    </w:p>
    <w:p w14:paraId="49F99113">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5、产权保证</w:t>
      </w:r>
    </w:p>
    <w:p w14:paraId="09AEA68C">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乙方保证所交付的服务和服务所涉及的物品所有权无任何抵押、查封等权利瑕疵。</w:t>
      </w:r>
    </w:p>
    <w:p w14:paraId="5B77AA2F">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6、转包或分包</w:t>
      </w:r>
    </w:p>
    <w:p w14:paraId="12A47AEC">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6.1 本合同禁止转包，本合同范围的服务，应由乙方直接提供的，不得转让他人提供。</w:t>
      </w:r>
    </w:p>
    <w:p w14:paraId="2B53E3B3">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6.2 经甲方同意，乙方可以依法采取分包方式履行合同，但是分包方式履行的，乙方应就采购项目向甲方负全责。</w:t>
      </w:r>
    </w:p>
    <w:p w14:paraId="1863A37C">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7、服务期限</w:t>
      </w:r>
    </w:p>
    <w:p w14:paraId="42CAEB3F">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 xml:space="preserve">7.1 </w:t>
      </w:r>
      <w:r>
        <w:rPr>
          <w:rFonts w:hint="eastAsia" w:hAnsi="宋体" w:eastAsia="宋体"/>
          <w:color w:val="auto"/>
          <w:sz w:val="21"/>
          <w:highlight w:val="none"/>
          <w:lang w:eastAsia="zh-CN"/>
        </w:rPr>
        <w:t>服务期限1年，具体进场时间以甲方书面通知为准。</w:t>
      </w:r>
    </w:p>
    <w:p w14:paraId="0419457E">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8、交付期、交付方式及交付地点</w:t>
      </w:r>
    </w:p>
    <w:p w14:paraId="2DC4E252">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8.1 交付期：_________</w:t>
      </w:r>
    </w:p>
    <w:p w14:paraId="6308F98D">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8.2 交付方式：_________</w:t>
      </w:r>
    </w:p>
    <w:p w14:paraId="151435BE">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8.3 交付地点：_________</w:t>
      </w:r>
    </w:p>
    <w:p w14:paraId="7BD7D21F">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9、货款支付</w:t>
      </w:r>
    </w:p>
    <w:p w14:paraId="05C58DA0">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9</w:t>
      </w:r>
      <w:r>
        <w:rPr>
          <w:rFonts w:hAnsi="宋体" w:eastAsia="宋体"/>
          <w:color w:val="auto"/>
          <w:sz w:val="21"/>
          <w:highlight w:val="none"/>
        </w:rPr>
        <w:t xml:space="preserve">.1 </w:t>
      </w:r>
      <w:r>
        <w:rPr>
          <w:rFonts w:hint="eastAsia" w:hAnsi="宋体" w:eastAsia="宋体"/>
          <w:color w:val="auto"/>
          <w:sz w:val="21"/>
          <w:highlight w:val="none"/>
        </w:rPr>
        <w:t xml:space="preserve">本合同项下所有款项均以人民币支付。 </w:t>
      </w:r>
    </w:p>
    <w:p w14:paraId="7C5B5FB2">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9.2 本合同项下的采购资金由甲方支付。</w:t>
      </w:r>
    </w:p>
    <w:p w14:paraId="14BA773F">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9.3 甲方付款方式：</w:t>
      </w:r>
    </w:p>
    <w:p w14:paraId="2F94BDDD">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lang w:eastAsia="zh-CN"/>
        </w:rPr>
        <w:t>该项目分两次付款，第一次付款于养护期开始半年后</w:t>
      </w:r>
      <w:r>
        <w:rPr>
          <w:rFonts w:hint="eastAsia" w:hAnsi="宋体" w:eastAsia="宋体"/>
          <w:color w:val="auto"/>
          <w:sz w:val="21"/>
          <w:highlight w:val="none"/>
        </w:rPr>
        <w:t>根据考核结果</w:t>
      </w:r>
      <w:r>
        <w:rPr>
          <w:rFonts w:hint="eastAsia" w:hAnsi="宋体" w:eastAsia="宋体"/>
          <w:color w:val="auto"/>
          <w:sz w:val="21"/>
          <w:highlight w:val="none"/>
          <w:lang w:eastAsia="zh-CN"/>
        </w:rPr>
        <w:t>付款，暂按养护面积</w:t>
      </w:r>
      <w:r>
        <w:rPr>
          <w:rFonts w:hint="eastAsia" w:hAnsi="宋体" w:eastAsia="宋体"/>
          <w:color w:val="auto"/>
          <w:sz w:val="21"/>
          <w:highlight w:val="none"/>
          <w:lang w:val="en-US" w:eastAsia="zh-CN"/>
        </w:rPr>
        <w:t>150000</w:t>
      </w:r>
      <w:r>
        <w:rPr>
          <w:rFonts w:hint="eastAsia" w:hAnsi="宋体" w:eastAsia="宋体"/>
          <w:color w:val="auto"/>
          <w:sz w:val="21"/>
          <w:highlight w:val="none"/>
        </w:rPr>
        <w:t>平方米计算</w:t>
      </w:r>
      <w:r>
        <w:rPr>
          <w:rFonts w:hint="eastAsia" w:hAnsi="宋体" w:eastAsia="宋体"/>
          <w:color w:val="auto"/>
          <w:sz w:val="21"/>
          <w:highlight w:val="none"/>
          <w:lang w:eastAsia="zh-CN"/>
        </w:rPr>
        <w:t>合同价付至合同价</w:t>
      </w:r>
      <w:r>
        <w:rPr>
          <w:rFonts w:hint="eastAsia" w:hAnsi="宋体" w:eastAsia="宋体"/>
          <w:color w:val="auto"/>
          <w:sz w:val="21"/>
          <w:highlight w:val="none"/>
          <w:lang w:val="en-US" w:eastAsia="zh-CN"/>
        </w:rPr>
        <w:t>的50%（扣除当期考核款）；第二次付款于该项目养护期满且经审计结束后，</w:t>
      </w:r>
      <w:r>
        <w:rPr>
          <w:rFonts w:hint="eastAsia" w:hAnsi="宋体" w:eastAsia="宋体"/>
          <w:color w:val="auto"/>
          <w:sz w:val="21"/>
          <w:highlight w:val="none"/>
        </w:rPr>
        <w:t>根据考核结果</w:t>
      </w:r>
      <w:r>
        <w:rPr>
          <w:rFonts w:hint="eastAsia" w:hAnsi="宋体" w:eastAsia="宋体"/>
          <w:color w:val="auto"/>
          <w:sz w:val="21"/>
          <w:highlight w:val="none"/>
          <w:lang w:val="en-US" w:eastAsia="zh-CN"/>
        </w:rPr>
        <w:t>按结算价（扣除考核款）付清。付款前</w:t>
      </w:r>
      <w:r>
        <w:rPr>
          <w:rFonts w:hint="eastAsia" w:hAnsi="宋体" w:eastAsia="宋体"/>
          <w:color w:val="auto"/>
          <w:sz w:val="21"/>
          <w:highlight w:val="none"/>
        </w:rPr>
        <w:t>乙方</w:t>
      </w:r>
      <w:r>
        <w:rPr>
          <w:rFonts w:hint="eastAsia" w:hAnsi="宋体" w:eastAsia="宋体"/>
          <w:color w:val="auto"/>
          <w:sz w:val="21"/>
          <w:highlight w:val="none"/>
          <w:lang w:eastAsia="zh-CN"/>
        </w:rPr>
        <w:t>需</w:t>
      </w:r>
      <w:r>
        <w:rPr>
          <w:rFonts w:hint="eastAsia" w:hAnsi="宋体" w:eastAsia="宋体"/>
          <w:color w:val="auto"/>
          <w:sz w:val="21"/>
          <w:highlight w:val="none"/>
        </w:rPr>
        <w:t>向甲方开具合法有效的增值税专用发票，发票税率</w:t>
      </w:r>
      <w:r>
        <w:rPr>
          <w:rFonts w:hint="eastAsia" w:hAnsi="宋体" w:eastAsia="宋体"/>
          <w:color w:val="auto"/>
          <w:sz w:val="21"/>
          <w:highlight w:val="none"/>
          <w:u w:val="single"/>
        </w:rPr>
        <w:t xml:space="preserve">  </w:t>
      </w:r>
      <w:r>
        <w:rPr>
          <w:rFonts w:hint="eastAsia" w:hAnsi="宋体" w:eastAsia="宋体"/>
          <w:color w:val="auto"/>
          <w:sz w:val="21"/>
          <w:highlight w:val="none"/>
        </w:rPr>
        <w:t>%。</w:t>
      </w:r>
    </w:p>
    <w:p w14:paraId="312D4BB6">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本工程需要进行结算审计，实际养护面积不低于</w:t>
      </w:r>
      <w:r>
        <w:rPr>
          <w:rFonts w:hint="eastAsia" w:hAnsi="宋体" w:eastAsia="宋体"/>
          <w:color w:val="auto"/>
          <w:sz w:val="21"/>
          <w:highlight w:val="none"/>
          <w:lang w:val="en-US" w:eastAsia="zh-CN"/>
        </w:rPr>
        <w:t>150000</w:t>
      </w:r>
      <w:r>
        <w:rPr>
          <w:rFonts w:hint="eastAsia" w:hAnsi="宋体" w:eastAsia="宋体"/>
          <w:color w:val="auto"/>
          <w:sz w:val="21"/>
          <w:highlight w:val="none"/>
        </w:rPr>
        <w:t>平方米，合同价不作调整；实际养护面积低于</w:t>
      </w:r>
      <w:r>
        <w:rPr>
          <w:rFonts w:hint="eastAsia" w:hAnsi="宋体" w:eastAsia="宋体"/>
          <w:color w:val="auto"/>
          <w:sz w:val="21"/>
          <w:highlight w:val="none"/>
          <w:lang w:val="en-US" w:eastAsia="zh-CN"/>
        </w:rPr>
        <w:t>150000</w:t>
      </w:r>
      <w:r>
        <w:rPr>
          <w:rFonts w:hint="eastAsia" w:hAnsi="宋体" w:eastAsia="宋体"/>
          <w:color w:val="auto"/>
          <w:sz w:val="21"/>
          <w:highlight w:val="none"/>
        </w:rPr>
        <w:t>平方米，则按合同价/</w:t>
      </w:r>
      <w:r>
        <w:rPr>
          <w:rFonts w:hint="eastAsia" w:hAnsi="宋体" w:eastAsia="宋体"/>
          <w:color w:val="auto"/>
          <w:sz w:val="21"/>
          <w:highlight w:val="none"/>
          <w:lang w:val="en-US" w:eastAsia="zh-CN"/>
        </w:rPr>
        <w:t>150000</w:t>
      </w:r>
      <w:r>
        <w:rPr>
          <w:rFonts w:hint="eastAsia" w:hAnsi="宋体" w:eastAsia="宋体"/>
          <w:color w:val="auto"/>
          <w:sz w:val="21"/>
          <w:highlight w:val="none"/>
        </w:rPr>
        <w:t>*实际养护面积（面积单位为平方米）作为结算价。</w:t>
      </w:r>
    </w:p>
    <w:p w14:paraId="486477C5">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工程审计核减率超过5%的部分审计费由乙方承担。乙方承担审计费=超过部分基本费+超过部分审计绩效费=（送审价-送审价*5%-审定价）*5‰+（送审价-审定价-送审价*5%）*5%。</w:t>
      </w:r>
    </w:p>
    <w:p w14:paraId="6A33700A">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10、税费</w:t>
      </w:r>
    </w:p>
    <w:p w14:paraId="00A27F35">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本合同执行中相关的一切税费均由乙方负担。</w:t>
      </w:r>
    </w:p>
    <w:p w14:paraId="7FA86B0D">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11、质量保证及售后服务</w:t>
      </w:r>
    </w:p>
    <w:p w14:paraId="2AE443E0">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11.1 乙方应按竞争性磋商文件规定及响应文件承诺的技术性能、技术要求、质量标准向甲方提供服务；若无特殊说明，则按国家有关部门最新颁布的标准及规范为准。</w:t>
      </w:r>
    </w:p>
    <w:p w14:paraId="03894EE7">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11.2乙方应保证其提供的服务是全面和规范的，并完全符合竞争性磋商文件及响应文件。如因乙方提供的服务有瑕疵造成甲方损失的，所需费用由乙方承担。</w:t>
      </w:r>
    </w:p>
    <w:p w14:paraId="48D608F0">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11.3 如在使用过程中发生质量问题，乙方在接到甲方通知后在</w:t>
      </w:r>
      <w:r>
        <w:rPr>
          <w:rFonts w:hint="eastAsia" w:hAnsi="宋体" w:eastAsia="宋体"/>
          <w:color w:val="auto"/>
          <w:sz w:val="21"/>
          <w:highlight w:val="none"/>
          <w:lang w:val="en-US" w:eastAsia="zh-CN"/>
        </w:rPr>
        <w:t xml:space="preserve">  1  </w:t>
      </w:r>
      <w:r>
        <w:rPr>
          <w:rFonts w:hint="eastAsia" w:hAnsi="宋体" w:eastAsia="宋体"/>
          <w:color w:val="auto"/>
          <w:sz w:val="21"/>
          <w:highlight w:val="none"/>
        </w:rPr>
        <w:t>小时内到达甲方现场。</w:t>
      </w:r>
    </w:p>
    <w:p w14:paraId="4E3D3E8B">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11.4 免费维保期内，乙方应对所提供服务出现的质量及安全问题负责处理解决并承担一切费用。</w:t>
      </w:r>
    </w:p>
    <w:p w14:paraId="41C6CF31">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12、交付和验收</w:t>
      </w:r>
    </w:p>
    <w:p w14:paraId="553AA56F">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 xml:space="preserve">12.1 乙方应当在合同签订后   </w:t>
      </w:r>
      <w:r>
        <w:rPr>
          <w:rFonts w:hint="eastAsia" w:hAnsi="宋体" w:eastAsia="宋体"/>
          <w:color w:val="auto"/>
          <w:sz w:val="21"/>
          <w:highlight w:val="none"/>
          <w:lang w:val="en-US" w:eastAsia="zh-CN"/>
        </w:rPr>
        <w:t>/</w:t>
      </w:r>
      <w:r>
        <w:rPr>
          <w:rFonts w:hint="eastAsia" w:hAnsi="宋体" w:eastAsia="宋体"/>
          <w:color w:val="auto"/>
          <w:sz w:val="21"/>
          <w:highlight w:val="none"/>
        </w:rPr>
        <w:t xml:space="preserve">  天内完成服务事项，竞争性磋商文件有约定的，从其约定。</w:t>
      </w:r>
    </w:p>
    <w:p w14:paraId="12D7AA40">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在交付前，乙方应作出全面检查和对验收文件进行整理，并列出清单，作为甲方初验收和使用的技术条件依据，检验的结果交甲方。</w:t>
      </w:r>
    </w:p>
    <w:p w14:paraId="0C3E6A3C">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12.2 验收标准：按乙方磋商响应文件的承诺，并不低于国家相关标准。</w:t>
      </w:r>
    </w:p>
    <w:p w14:paraId="56155ADC">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 xml:space="preserve">对于乙方要交付的服务，甲乙双方须在 </w:t>
      </w:r>
      <w:r>
        <w:rPr>
          <w:rFonts w:hint="eastAsia" w:hAnsi="宋体" w:eastAsia="宋体"/>
          <w:color w:val="auto"/>
          <w:sz w:val="21"/>
          <w:highlight w:val="none"/>
          <w:lang w:val="en-US" w:eastAsia="zh-CN"/>
        </w:rPr>
        <w:t>/</w:t>
      </w:r>
      <w:r>
        <w:rPr>
          <w:rFonts w:hint="eastAsia" w:hAnsi="宋体" w:eastAsia="宋体"/>
          <w:color w:val="auto"/>
          <w:sz w:val="21"/>
          <w:highlight w:val="none"/>
        </w:rPr>
        <w:t xml:space="preserve">   工作日内初验收，甲方对乙方提交的服务依据竞争性磋商文件上的技术要求和国家有关质量标准进行现场初步验收，外观、说明书、包装符合竞争性磋商文件技术要求的，给予签收，初步验收不合格的不予签收。</w:t>
      </w:r>
    </w:p>
    <w:p w14:paraId="4E65E2A2">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12.3 乙方按照竞争性磋商文件要求负责安装并培训甲方的使用操作人员，乙方在甲方使用前进行调试，调试直到符合技术要求的甲方才做最终验收。</w:t>
      </w:r>
    </w:p>
    <w:p w14:paraId="6479D33E">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14:paraId="72071103">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int="eastAsia" w:hAnsi="宋体" w:eastAsia="宋体"/>
          <w:color w:val="auto"/>
          <w:sz w:val="21"/>
          <w:highlight w:val="none"/>
        </w:rPr>
        <w:t xml:space="preserve">12.5 甲乙双方关于调试和验收的其他约定：            </w:t>
      </w:r>
      <w:r>
        <w:rPr>
          <w:rFonts w:hint="eastAsia" w:hAnsi="宋体" w:eastAsia="宋体"/>
          <w:color w:val="auto"/>
          <w:sz w:val="21"/>
          <w:highlight w:val="none"/>
          <w:lang w:val="en-US" w:eastAsia="zh-CN"/>
        </w:rPr>
        <w:t>/</w:t>
      </w:r>
      <w:r>
        <w:rPr>
          <w:rFonts w:hint="eastAsia" w:hAnsi="宋体" w:eastAsia="宋体"/>
          <w:color w:val="auto"/>
          <w:sz w:val="21"/>
          <w:highlight w:val="none"/>
        </w:rPr>
        <w:t xml:space="preserve">               。</w:t>
      </w:r>
    </w:p>
    <w:p w14:paraId="5E2F2A02">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13、包装、发运及运输</w:t>
      </w:r>
    </w:p>
    <w:p w14:paraId="05C90C20">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13.1 乙方应对其提供的服务所涉及物品在发运前对其进行满足运输距离、防潮、防震、防锈和防破损装卸等要求包装，以保证安全运达甲方指定地点。</w:t>
      </w:r>
    </w:p>
    <w:p w14:paraId="34F2E801">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13.2 乙方交付时，使用说明书、检验证明书、随配附件和工具以及清单一并附于内。</w:t>
      </w:r>
    </w:p>
    <w:p w14:paraId="2DD5619F">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14:paraId="3B61D1B0">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13.4 服务在交付甲方前发生的风险均由乙方负责。</w:t>
      </w:r>
    </w:p>
    <w:p w14:paraId="4A3D9DBC">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13.5 服务在规定的交付期限内由乙方送达甲方指定的地点。</w:t>
      </w:r>
    </w:p>
    <w:p w14:paraId="4D5B8338">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14、违约责任</w:t>
      </w:r>
    </w:p>
    <w:p w14:paraId="257171C6">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14.1 甲方无正当理由拒绝初验收和终验收服务项目的，甲方应按未付服务项目款金额每日万分之五向乙方支付违约金。</w:t>
      </w:r>
    </w:p>
    <w:p w14:paraId="32603482">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14.2 甲方无故逾期验收和无故逾期办理款项支付手续的,甲方应按逾期付款金额每日万分之五向乙方支付违约金。</w:t>
      </w:r>
    </w:p>
    <w:p w14:paraId="3E7C52EE">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14.3乙方违约，在消除违约情形前，应按本合同项目总额每日万分之五向甲方支付违约金，甲方可以从待付款项中扣除。</w:t>
      </w:r>
    </w:p>
    <w:p w14:paraId="61611B55">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14.4乙方因逾期交付服务项目或因其他违约行为，导致甲方解除合同的，乙方应向甲方支付合同总值5%的违约金，如造成甲方损失超过违约金的，超出部分由乙方继续承担赔偿责任。</w:t>
      </w:r>
    </w:p>
    <w:p w14:paraId="08AA7F9B">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14.5 乙方所交的服务项目全部或部分品种、型号、规格、技术参数、质量不符合合同规定及竞争性磋商文件规定标准的，乙方更换服务但逾期交付的（甲方拒绝接受的除外），按乙方逾期交付处理；乙方拒绝更换的，甲方可选择解除本合同或本合同的一部分，并可追究乙方的其他违约责任。</w:t>
      </w:r>
    </w:p>
    <w:p w14:paraId="272520C4">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 xml:space="preserve">14.6合同生效后，发现乙方投标属虚假承诺，或经权威部门监测提供的服务不能满足竞争性磋商文件要求，造成合同无法继续履行的，乙方应向甲方支付不少于合同总价 </w:t>
      </w:r>
      <w:r>
        <w:rPr>
          <w:rFonts w:hint="eastAsia" w:hAnsi="宋体" w:eastAsia="宋体"/>
          <w:color w:val="auto"/>
          <w:sz w:val="21"/>
          <w:highlight w:val="none"/>
          <w:lang w:eastAsia="zh-CN"/>
        </w:rPr>
        <w:t>5</w:t>
      </w:r>
      <w:r>
        <w:rPr>
          <w:rFonts w:hAnsi="宋体" w:eastAsia="宋体"/>
          <w:color w:val="auto"/>
          <w:sz w:val="21"/>
          <w:highlight w:val="none"/>
        </w:rPr>
        <w:t xml:space="preserve">  %赔偿金。</w:t>
      </w:r>
    </w:p>
    <w:p w14:paraId="045C3314">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15、不可抗力事件处理</w:t>
      </w:r>
    </w:p>
    <w:p w14:paraId="3D63E457">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3B93F3C0">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7D4375C8">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16、争议解决</w:t>
      </w:r>
    </w:p>
    <w:p w14:paraId="745D7446">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16.1 因服务的品质质量问题发生争议的，可在国家认可的质量检测机构对服务内容质量进行鉴定。服务符合标准的，鉴定费由甲方承担；服务项目不符合质量标准的，鉴定费由乙方承担。</w:t>
      </w:r>
    </w:p>
    <w:p w14:paraId="21002244">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16.2 因履行本合同引起的或与本合同有关的争议，甲、乙双方应首先通过友好协商解决；如果协商不能解决争议，甲乙双方同意采取下列两种方式的第（1）种方式解决争议：</w:t>
      </w:r>
    </w:p>
    <w:p w14:paraId="2545E20E">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（1）向甲方所在地有管辖权的人民法院提起诉讼，适用中华人民共和国法律；</w:t>
      </w:r>
    </w:p>
    <w:p w14:paraId="516DCEEA">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（2）向扬州仲裁委员会按其仲裁规则申请仲裁。</w:t>
      </w:r>
    </w:p>
    <w:p w14:paraId="2479B5B1">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16.3 若甲乙双方任何一方都没有选择解除合同的，为避免扩大损失，在诉讼或仲裁期间，双方应继续履行。</w:t>
      </w:r>
    </w:p>
    <w:p w14:paraId="3722D588">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17、合同其它</w:t>
      </w:r>
    </w:p>
    <w:p w14:paraId="69CC3483">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17.1 乙方应诚实信用，严格按照竞争性磋商文件要求和投标承诺履行合同，不向甲方进行商业贿赂或者提供不正当利益。</w:t>
      </w:r>
    </w:p>
    <w:p w14:paraId="0AC4A918">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lang w:eastAsia="zh-CN"/>
        </w:rPr>
      </w:pPr>
      <w:r>
        <w:rPr>
          <w:rFonts w:hAnsi="宋体" w:eastAsia="宋体"/>
          <w:color w:val="auto"/>
          <w:sz w:val="21"/>
          <w:highlight w:val="none"/>
        </w:rPr>
        <w:t>17.2本工程为考核项目，考核项目包含但不限于：</w:t>
      </w:r>
      <w:r>
        <w:rPr>
          <w:rFonts w:hint="eastAsia" w:hAnsi="宋体" w:eastAsia="宋体"/>
          <w:color w:val="auto"/>
          <w:sz w:val="21"/>
          <w:highlight w:val="none"/>
        </w:rPr>
        <w:t>修剪剥芽、施肥、病虫害防治、除草及树池维护、浇水排涝及防冻处理、保存率、卫生保洁、绿地保护及设施维护、安全生产、资料档案、发包人定期和不定期对承包范围巡查及其他</w:t>
      </w:r>
      <w:r>
        <w:rPr>
          <w:rFonts w:hint="eastAsia" w:hAnsi="宋体" w:eastAsia="宋体"/>
          <w:color w:val="auto"/>
          <w:sz w:val="21"/>
          <w:highlight w:val="none"/>
          <w:lang w:eastAsia="zh-CN"/>
        </w:rPr>
        <w:t>。</w:t>
      </w:r>
    </w:p>
    <w:p w14:paraId="5C9D6F6F">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17.3考核办法，每月采用定期考核与不定期考核相结合的方式进行全面考核，定期考核以月度考核为主，不定期考核即经常性巡查及重大节日、庆典、“迎检”、“创建”等指令性检查时所进行的随机抽查考核。 </w:t>
      </w:r>
      <w:r>
        <w:rPr>
          <w:rFonts w:hAnsi="宋体" w:eastAsia="宋体"/>
          <w:color w:val="auto"/>
          <w:sz w:val="21"/>
          <w:highlight w:val="none"/>
        </w:rPr>
        <w:br w:type="textWrapping"/>
      </w:r>
      <w:r>
        <w:rPr>
          <w:rFonts w:hAnsi="宋体" w:eastAsia="宋体"/>
          <w:color w:val="auto"/>
          <w:sz w:val="21"/>
          <w:highlight w:val="none"/>
        </w:rPr>
        <w:t xml:space="preserve">   17.4考核评分</w:t>
      </w:r>
      <w:r>
        <w:rPr>
          <w:rFonts w:hAnsi="宋体" w:eastAsia="宋体"/>
          <w:color w:val="auto"/>
          <w:sz w:val="21"/>
          <w:highlight w:val="none"/>
        </w:rPr>
        <w:br w:type="textWrapping"/>
      </w:r>
      <w:r>
        <w:rPr>
          <w:rFonts w:hAnsi="宋体" w:eastAsia="宋体"/>
          <w:color w:val="auto"/>
          <w:sz w:val="21"/>
          <w:highlight w:val="none"/>
        </w:rPr>
        <w:t xml:space="preserve">   17.4.1考核实行百分制。根据不同类型绿地、不同季节情况、不同养护等级，各项分值可稍做调整。</w:t>
      </w:r>
      <w:r>
        <w:rPr>
          <w:rFonts w:hAnsi="宋体" w:eastAsia="宋体"/>
          <w:color w:val="auto"/>
          <w:sz w:val="21"/>
          <w:highlight w:val="none"/>
        </w:rPr>
        <w:br w:type="textWrapping"/>
      </w:r>
      <w:r>
        <w:rPr>
          <w:rFonts w:hAnsi="宋体" w:eastAsia="宋体"/>
          <w:color w:val="auto"/>
          <w:sz w:val="21"/>
          <w:highlight w:val="none"/>
        </w:rPr>
        <w:t xml:space="preserve">   17.4.2每月考核分数由定期考核得分与不定期考核得分综合组成，定期考核得分占综合得分的70%，不定期考核得分占综合得分的30%。</w:t>
      </w:r>
      <w:r>
        <w:rPr>
          <w:rFonts w:hAnsi="宋体" w:eastAsia="宋体"/>
          <w:color w:val="auto"/>
          <w:sz w:val="21"/>
          <w:highlight w:val="none"/>
        </w:rPr>
        <w:br w:type="textWrapping"/>
      </w:r>
      <w:r>
        <w:rPr>
          <w:rFonts w:hAnsi="宋体" w:eastAsia="宋体"/>
          <w:color w:val="auto"/>
          <w:sz w:val="21"/>
          <w:highlight w:val="none"/>
        </w:rPr>
        <w:t xml:space="preserve">   17.4.3因养护管理不当，出现以下情况的，每次加扣三分：</w:t>
      </w:r>
      <w:r>
        <w:rPr>
          <w:rFonts w:hAnsi="宋体" w:eastAsia="宋体"/>
          <w:color w:val="auto"/>
          <w:sz w:val="21"/>
          <w:highlight w:val="none"/>
        </w:rPr>
        <w:br w:type="textWrapping"/>
      </w:r>
      <w:r>
        <w:rPr>
          <w:rFonts w:hAnsi="宋体" w:eastAsia="宋体"/>
          <w:color w:val="auto"/>
          <w:sz w:val="21"/>
          <w:highlight w:val="none"/>
        </w:rPr>
        <w:t xml:space="preserve">  （1）受到上级领导点名批评、情节严重的；</w:t>
      </w:r>
      <w:r>
        <w:rPr>
          <w:rFonts w:hAnsi="宋体" w:eastAsia="宋体"/>
          <w:color w:val="auto"/>
          <w:sz w:val="21"/>
          <w:highlight w:val="none"/>
        </w:rPr>
        <w:br w:type="textWrapping"/>
      </w:r>
      <w:r>
        <w:rPr>
          <w:rFonts w:hAnsi="宋体" w:eastAsia="宋体"/>
          <w:color w:val="auto"/>
          <w:sz w:val="21"/>
          <w:highlight w:val="none"/>
        </w:rPr>
        <w:t xml:space="preserve">  （2）经媒体曝光查实的；</w:t>
      </w:r>
      <w:r>
        <w:rPr>
          <w:rFonts w:hAnsi="宋体" w:eastAsia="宋体"/>
          <w:color w:val="auto"/>
          <w:sz w:val="21"/>
          <w:highlight w:val="none"/>
        </w:rPr>
        <w:br w:type="textWrapping"/>
      </w:r>
      <w:r>
        <w:rPr>
          <w:rFonts w:hAnsi="宋体" w:eastAsia="宋体"/>
          <w:color w:val="auto"/>
          <w:sz w:val="21"/>
          <w:highlight w:val="none"/>
        </w:rPr>
        <w:t xml:space="preserve">  （3）群众举报查实的；</w:t>
      </w:r>
      <w:r>
        <w:rPr>
          <w:rFonts w:hAnsi="宋体" w:eastAsia="宋体"/>
          <w:color w:val="auto"/>
          <w:sz w:val="21"/>
          <w:highlight w:val="none"/>
        </w:rPr>
        <w:br w:type="textWrapping"/>
      </w:r>
      <w:r>
        <w:rPr>
          <w:rFonts w:hAnsi="宋体" w:eastAsia="宋体"/>
          <w:color w:val="auto"/>
          <w:sz w:val="21"/>
          <w:highlight w:val="none"/>
        </w:rPr>
        <w:t xml:space="preserve">  （4）绿化数字化管理中失分的。</w:t>
      </w:r>
      <w:r>
        <w:rPr>
          <w:rFonts w:hAnsi="宋体" w:eastAsia="宋体"/>
          <w:color w:val="auto"/>
          <w:sz w:val="21"/>
          <w:highlight w:val="none"/>
        </w:rPr>
        <w:br w:type="textWrapping"/>
      </w:r>
      <w:r>
        <w:rPr>
          <w:rFonts w:hAnsi="宋体" w:eastAsia="宋体"/>
          <w:color w:val="auto"/>
          <w:sz w:val="21"/>
          <w:highlight w:val="none"/>
        </w:rPr>
        <w:t xml:space="preserve">   </w:t>
      </w:r>
      <w:bookmarkStart w:id="128" w:name="_Hlk67474562"/>
      <w:r>
        <w:rPr>
          <w:rFonts w:hAnsi="宋体" w:eastAsia="宋体"/>
          <w:color w:val="auto"/>
          <w:sz w:val="21"/>
          <w:highlight w:val="none"/>
        </w:rPr>
        <w:t xml:space="preserve"> 17.4.4考核分数92分为基准分值，每低于基准分值1分，相应扣减当月养护经费贰千元。</w:t>
      </w:r>
    </w:p>
    <w:p w14:paraId="5E8B8456">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17.4.5年度考核中养护标段有三次分值低于88分的或有二次分值低于85分的或有一次分值低于80分的，将取消该标段中标单位养护资格，该标段重新进行招标。</w:t>
      </w:r>
    </w:p>
    <w:p w14:paraId="7E23DE32">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17.4.6</w:t>
      </w:r>
      <w:r>
        <w:rPr>
          <w:rFonts w:hAnsi="宋体" w:eastAsia="宋体"/>
          <w:color w:val="auto"/>
          <w:sz w:val="21"/>
          <w:highlight w:val="none"/>
        </w:rPr>
        <w:t>乙方应自觉提高安全意识，做好现场安全防护措施，确保安全，</w:t>
      </w:r>
      <w:r>
        <w:rPr>
          <w:rFonts w:hint="eastAsia" w:hAnsi="宋体" w:eastAsia="宋体"/>
          <w:color w:val="auto"/>
          <w:sz w:val="21"/>
          <w:highlight w:val="none"/>
        </w:rPr>
        <w:t>养护</w:t>
      </w:r>
      <w:r>
        <w:rPr>
          <w:rFonts w:hAnsi="宋体" w:eastAsia="宋体"/>
          <w:color w:val="auto"/>
          <w:sz w:val="21"/>
          <w:highlight w:val="none"/>
        </w:rPr>
        <w:t>过程中一切安全责任及措施费用概由乙方负责。在养护过程中如发生人身伤亡事故， 由乙方承担全部责任，并由乙方承担造成的经济损失和刑事责任。</w:t>
      </w:r>
      <w:r>
        <w:rPr>
          <w:rFonts w:hint="eastAsia" w:hAnsi="宋体" w:eastAsia="宋体"/>
          <w:color w:val="auto"/>
          <w:sz w:val="21"/>
          <w:highlight w:val="none"/>
        </w:rPr>
        <w:t>因养护单位未及时处理而造成财产损失、人员伤害的，养护单位需承担一切责任，如造成恶劣影响的将取消其养护资格。</w:t>
      </w:r>
    </w:p>
    <w:p w14:paraId="4058A159">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17.4.</w:t>
      </w:r>
      <w:r>
        <w:rPr>
          <w:rFonts w:hint="eastAsia" w:hAnsi="宋体" w:eastAsia="宋体"/>
          <w:color w:val="auto"/>
          <w:sz w:val="21"/>
          <w:highlight w:val="none"/>
          <w:lang w:eastAsia="zh-CN"/>
        </w:rPr>
        <w:t>7</w:t>
      </w:r>
      <w:r>
        <w:rPr>
          <w:rFonts w:hAnsi="宋体" w:eastAsia="宋体"/>
          <w:color w:val="auto"/>
          <w:sz w:val="21"/>
          <w:highlight w:val="none"/>
        </w:rPr>
        <w:t>接甲方通知后，乙方更换草花且草花花期不得低于3个月，更换结束需要通知甲方验收，甲方验收发现草花面积或单位面积株数不足等问题，发现一次扣减人民币叁万元。</w:t>
      </w:r>
      <w:bookmarkEnd w:id="128"/>
    </w:p>
    <w:p w14:paraId="1A95E80A">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Ansi="宋体" w:eastAsia="宋体"/>
          <w:color w:val="auto"/>
          <w:sz w:val="21"/>
          <w:highlight w:val="none"/>
        </w:rPr>
        <w:t>17.4.</w:t>
      </w:r>
      <w:r>
        <w:rPr>
          <w:rFonts w:hint="eastAsia" w:hAnsi="宋体" w:eastAsia="宋体"/>
          <w:color w:val="auto"/>
          <w:sz w:val="21"/>
          <w:highlight w:val="none"/>
        </w:rPr>
        <w:t>8每月的定期和不定期考核内发现的问题，次日以指令单形式下发给绿化养护单位，一周内未整改到位的扣减人民币1000元∕次；二周内未整改到位的扣减人民币2000元∕次；三周内未整改到位的甲方有权自行处理，处理费用由乙方承担并且不免除扣减乙方罚款费用，已</w:t>
      </w:r>
      <w:r>
        <w:rPr>
          <w:rFonts w:hAnsi="宋体" w:eastAsia="宋体"/>
          <w:color w:val="auto"/>
          <w:sz w:val="21"/>
          <w:highlight w:val="none"/>
        </w:rPr>
        <w:t>整改到位</w:t>
      </w:r>
      <w:r>
        <w:rPr>
          <w:rFonts w:hint="eastAsia" w:hAnsi="宋体" w:eastAsia="宋体"/>
          <w:color w:val="auto"/>
          <w:sz w:val="21"/>
          <w:highlight w:val="none"/>
        </w:rPr>
        <w:t>的</w:t>
      </w:r>
      <w:r>
        <w:rPr>
          <w:rFonts w:hAnsi="宋体" w:eastAsia="宋体"/>
          <w:color w:val="auto"/>
          <w:sz w:val="21"/>
          <w:highlight w:val="none"/>
        </w:rPr>
        <w:t>，方可核发养护费用；</w:t>
      </w:r>
      <w:r>
        <w:rPr>
          <w:rFonts w:hint="eastAsia" w:hAnsi="宋体" w:eastAsia="宋体"/>
          <w:color w:val="auto"/>
          <w:sz w:val="21"/>
          <w:highlight w:val="none"/>
        </w:rPr>
        <w:t>拒不执行指令单的</w:t>
      </w:r>
      <w:r>
        <w:rPr>
          <w:rFonts w:hAnsi="宋体" w:eastAsia="宋体"/>
          <w:color w:val="auto"/>
          <w:sz w:val="21"/>
          <w:highlight w:val="none"/>
        </w:rPr>
        <w:t>停发养护费用</w:t>
      </w:r>
      <w:r>
        <w:rPr>
          <w:rFonts w:hint="eastAsia" w:hAnsi="宋体" w:eastAsia="宋体"/>
          <w:color w:val="auto"/>
          <w:sz w:val="21"/>
          <w:highlight w:val="none"/>
        </w:rPr>
        <w:t>。</w:t>
      </w:r>
    </w:p>
    <w:p w14:paraId="04B3E9F0">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17.5合同经双方及见证方法定代表人或授权代表签字并加盖单位公章后生效。</w:t>
      </w:r>
    </w:p>
    <w:p w14:paraId="7AC6A72A">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17.6本合同未尽事宜，遵照《</w:t>
      </w:r>
      <w:r>
        <w:rPr>
          <w:rFonts w:hint="eastAsia" w:hAnsi="宋体" w:eastAsia="宋体"/>
          <w:color w:val="auto"/>
          <w:sz w:val="21"/>
          <w:highlight w:val="none"/>
        </w:rPr>
        <w:t>中华人民共和国民法典</w:t>
      </w:r>
      <w:r>
        <w:rPr>
          <w:rFonts w:hAnsi="宋体" w:eastAsia="宋体"/>
          <w:color w:val="auto"/>
          <w:sz w:val="21"/>
          <w:highlight w:val="none"/>
        </w:rPr>
        <w:t>》有关条文执行。</w:t>
      </w:r>
    </w:p>
    <w:p w14:paraId="24FBB6F7">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17.7 本合同正本一式伍份，甲方</w:t>
      </w:r>
      <w:r>
        <w:rPr>
          <w:rFonts w:hint="eastAsia" w:hAnsi="宋体" w:eastAsia="宋体"/>
          <w:color w:val="auto"/>
          <w:sz w:val="21"/>
          <w:highlight w:val="none"/>
          <w:lang w:val="en-US" w:eastAsia="zh-CN"/>
        </w:rPr>
        <w:t>叁</w:t>
      </w:r>
      <w:r>
        <w:rPr>
          <w:rFonts w:hAnsi="宋体" w:eastAsia="宋体"/>
          <w:color w:val="auto"/>
          <w:sz w:val="21"/>
          <w:highlight w:val="none"/>
        </w:rPr>
        <w:t>份，乙方</w:t>
      </w:r>
      <w:r>
        <w:rPr>
          <w:rFonts w:hint="eastAsia" w:hAnsi="宋体" w:eastAsia="宋体"/>
          <w:color w:val="auto"/>
          <w:sz w:val="21"/>
          <w:highlight w:val="none"/>
          <w:lang w:val="en-US" w:eastAsia="zh-CN"/>
        </w:rPr>
        <w:t>贰</w:t>
      </w:r>
      <w:r>
        <w:rPr>
          <w:rFonts w:hAnsi="宋体" w:eastAsia="宋体"/>
          <w:color w:val="auto"/>
          <w:sz w:val="21"/>
          <w:highlight w:val="none"/>
        </w:rPr>
        <w:t>份，具有同等法律效力。</w:t>
      </w:r>
    </w:p>
    <w:p w14:paraId="6A0FE1A9">
      <w:pPr>
        <w:pStyle w:val="26"/>
        <w:keepNext w:val="0"/>
        <w:keepLines w:val="0"/>
        <w:pageBreakBefore w:val="0"/>
        <w:widowControl w:val="0"/>
        <w:kinsoku/>
        <w:wordWrap/>
        <w:overflowPunct/>
        <w:topLinePunct w:val="0"/>
        <w:bidi w:val="0"/>
        <w:spacing w:line="360" w:lineRule="auto"/>
        <w:ind w:left="0" w:leftChars="0" w:firstLine="420" w:firstLineChars="200"/>
        <w:rPr>
          <w:rFonts w:hAnsi="宋体" w:eastAsia="宋体"/>
          <w:color w:val="auto"/>
          <w:sz w:val="21"/>
          <w:highlight w:val="none"/>
        </w:rPr>
      </w:pPr>
      <w:r>
        <w:rPr>
          <w:rFonts w:hAnsi="宋体" w:eastAsia="宋体"/>
          <w:color w:val="auto"/>
          <w:sz w:val="21"/>
          <w:highlight w:val="none"/>
        </w:rPr>
        <w:t xml:space="preserve"> </w:t>
      </w:r>
    </w:p>
    <w:p w14:paraId="3372FD2A">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 xml:space="preserve"> 甲方：扬州维投经营管理有限公司</w:t>
      </w:r>
      <w:r>
        <w:rPr>
          <w:rFonts w:hint="eastAsia" w:hAnsi="宋体" w:eastAsia="宋体"/>
          <w:color w:val="auto"/>
          <w:sz w:val="21"/>
          <w:highlight w:val="none"/>
        </w:rPr>
        <w:tab/>
      </w:r>
      <w:r>
        <w:rPr>
          <w:rFonts w:hint="eastAsia" w:hAnsi="宋体" w:eastAsia="宋体"/>
          <w:color w:val="auto"/>
          <w:sz w:val="21"/>
          <w:highlight w:val="none"/>
        </w:rPr>
        <w:tab/>
      </w:r>
      <w:r>
        <w:rPr>
          <w:rFonts w:hint="eastAsia" w:hAnsi="宋体" w:eastAsia="宋体"/>
          <w:color w:val="auto"/>
          <w:sz w:val="21"/>
          <w:highlight w:val="none"/>
        </w:rPr>
        <w:t xml:space="preserve">   乙方： </w:t>
      </w:r>
    </w:p>
    <w:p w14:paraId="163EFCFE">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 xml:space="preserve"> 地址：</w:t>
      </w:r>
      <w:r>
        <w:rPr>
          <w:rFonts w:hint="eastAsia" w:hAnsi="宋体" w:eastAsia="宋体"/>
          <w:color w:val="auto"/>
          <w:sz w:val="21"/>
          <w:highlight w:val="none"/>
        </w:rPr>
        <w:tab/>
      </w:r>
      <w:r>
        <w:rPr>
          <w:rFonts w:hint="eastAsia" w:hAnsi="宋体" w:eastAsia="宋体"/>
          <w:color w:val="auto"/>
          <w:sz w:val="21"/>
          <w:highlight w:val="none"/>
        </w:rPr>
        <w:tab/>
      </w:r>
      <w:r>
        <w:rPr>
          <w:rFonts w:hint="eastAsia" w:hAnsi="宋体" w:eastAsia="宋体"/>
          <w:color w:val="auto"/>
          <w:sz w:val="21"/>
          <w:highlight w:val="none"/>
        </w:rPr>
        <w:tab/>
      </w:r>
      <w:r>
        <w:rPr>
          <w:rFonts w:hint="eastAsia" w:hAnsi="宋体" w:eastAsia="宋体"/>
          <w:color w:val="auto"/>
          <w:sz w:val="21"/>
          <w:highlight w:val="none"/>
        </w:rPr>
        <w:tab/>
      </w:r>
      <w:r>
        <w:rPr>
          <w:rFonts w:hint="eastAsia" w:hAnsi="宋体" w:eastAsia="宋体"/>
          <w:color w:val="auto"/>
          <w:sz w:val="21"/>
          <w:highlight w:val="none"/>
        </w:rPr>
        <w:t xml:space="preserve">                   地址： </w:t>
      </w:r>
    </w:p>
    <w:p w14:paraId="06025CAB">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 xml:space="preserve"> 法定代表人或授权代表：                  法定代表人或授权代表：</w:t>
      </w:r>
    </w:p>
    <w:p w14:paraId="188DDC24">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 xml:space="preserve"> 联系电话：                              联系电话：</w:t>
      </w:r>
    </w:p>
    <w:p w14:paraId="0D66CF6A">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p>
    <w:p w14:paraId="4D8A08EC">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p>
    <w:p w14:paraId="63CF3BA2">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见证方：</w:t>
      </w:r>
    </w:p>
    <w:p w14:paraId="5C6A7983">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r>
        <w:rPr>
          <w:rFonts w:hint="eastAsia" w:hAnsi="宋体" w:eastAsia="宋体"/>
          <w:color w:val="auto"/>
          <w:sz w:val="21"/>
          <w:highlight w:val="none"/>
        </w:rPr>
        <w:t xml:space="preserve">法定代表人或授权代表：                                </w:t>
      </w:r>
    </w:p>
    <w:p w14:paraId="24A3AAD8">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p>
    <w:p w14:paraId="4F086DA2">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eastAsia="宋体"/>
          <w:color w:val="auto"/>
          <w:sz w:val="21"/>
          <w:highlight w:val="none"/>
        </w:rPr>
      </w:pPr>
    </w:p>
    <w:p w14:paraId="53C618EE">
      <w:pPr>
        <w:pStyle w:val="26"/>
        <w:keepNext w:val="0"/>
        <w:keepLines w:val="0"/>
        <w:pageBreakBefore w:val="0"/>
        <w:widowControl w:val="0"/>
        <w:kinsoku/>
        <w:wordWrap/>
        <w:overflowPunct/>
        <w:topLinePunct w:val="0"/>
        <w:bidi w:val="0"/>
        <w:spacing w:line="360" w:lineRule="auto"/>
        <w:ind w:left="0" w:leftChars="0" w:firstLine="420" w:firstLineChars="200"/>
        <w:jc w:val="center"/>
        <w:rPr>
          <w:rFonts w:hint="eastAsia" w:ascii="宋体" w:hAnsi="宋体" w:eastAsia="宋体" w:cs="Arial"/>
          <w:bCs/>
          <w:color w:val="auto"/>
          <w:sz w:val="36"/>
          <w:szCs w:val="36"/>
          <w:highlight w:val="none"/>
        </w:rPr>
      </w:pPr>
      <w:r>
        <w:rPr>
          <w:rFonts w:hint="eastAsia" w:hAnsi="宋体" w:eastAsia="宋体"/>
          <w:color w:val="auto"/>
          <w:sz w:val="21"/>
          <w:highlight w:val="none"/>
          <w:lang w:val="en-US" w:eastAsia="zh-CN"/>
        </w:rPr>
        <w:t xml:space="preserve">日期：      年    月    日 </w:t>
      </w:r>
      <w:r>
        <w:rPr>
          <w:rFonts w:hAnsi="宋体" w:eastAsia="宋体"/>
          <w:color w:val="auto"/>
          <w:sz w:val="21"/>
          <w:highlight w:val="none"/>
        </w:rPr>
        <w:br w:type="page"/>
      </w:r>
      <w:r>
        <w:rPr>
          <w:rFonts w:hint="eastAsia" w:ascii="宋体" w:hAnsi="宋体" w:eastAsia="宋体" w:cs="Arial"/>
          <w:b/>
          <w:bCs w:val="0"/>
          <w:color w:val="auto"/>
          <w:sz w:val="36"/>
          <w:szCs w:val="36"/>
          <w:highlight w:val="none"/>
        </w:rPr>
        <w:t>第四章 项目需求</w:t>
      </w:r>
      <w:bookmarkStart w:id="129" w:name="_Toc61149622"/>
      <w:bookmarkStart w:id="130" w:name="_Toc23828480"/>
      <w:bookmarkStart w:id="131" w:name="_Toc26554097"/>
    </w:p>
    <w:p w14:paraId="3FADEAE1">
      <w:pPr>
        <w:keepNext w:val="0"/>
        <w:keepLines w:val="0"/>
        <w:pageBreakBefore w:val="0"/>
        <w:widowControl w:val="0"/>
        <w:numPr>
          <w:ilvl w:val="0"/>
          <w:numId w:val="7"/>
        </w:numPr>
        <w:kinsoku/>
        <w:wordWrap/>
        <w:overflowPunct/>
        <w:topLinePunct w:val="0"/>
        <w:bidi w:val="0"/>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r>
        <w:rPr>
          <w:rFonts w:hint="eastAsia" w:ascii="宋体" w:hAnsi="宋体" w:cs="宋体"/>
          <w:b/>
          <w:color w:val="auto"/>
          <w:kern w:val="0"/>
          <w:szCs w:val="21"/>
          <w:highlight w:val="none"/>
          <w:lang w:eastAsia="zh-CN"/>
        </w:rPr>
        <w:t>简介</w:t>
      </w:r>
    </w:p>
    <w:p w14:paraId="65E0F4A7">
      <w:pPr>
        <w:pStyle w:val="2"/>
        <w:keepNext w:val="0"/>
        <w:keepLines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1、项目名称：2025-2026西花园北绿化养护工程</w:t>
      </w:r>
    </w:p>
    <w:p w14:paraId="3C7B58AF">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2、养护范围：2025-2026年度西花园北片区绿化养护，</w:t>
      </w:r>
      <w:r>
        <w:rPr>
          <w:rFonts w:hint="eastAsia" w:ascii="宋体" w:hAnsi="宋体" w:eastAsia="宋体" w:cs="Times New Roman"/>
          <w:color w:val="auto"/>
          <w:kern w:val="2"/>
          <w:sz w:val="21"/>
          <w:szCs w:val="22"/>
          <w:highlight w:val="none"/>
          <w:lang w:val="en-US" w:eastAsia="zh-CN" w:bidi="ar-SA"/>
        </w:rPr>
        <w:t>包含但不限于北片区内所有乔木、灌木、草丛、花卉等进行浇水、修剪、除草、打药、栽植更换时令花卉等</w:t>
      </w:r>
      <w:r>
        <w:rPr>
          <w:rFonts w:hint="eastAsia" w:ascii="宋体" w:hAnsi="宋体" w:eastAsia="宋体" w:cs="宋体"/>
          <w:color w:val="auto"/>
          <w:kern w:val="2"/>
          <w:sz w:val="21"/>
          <w:szCs w:val="22"/>
          <w:highlight w:val="none"/>
          <w:lang w:val="en-US" w:eastAsia="zh-CN" w:bidi="ar-SA"/>
        </w:rPr>
        <w:t>。</w:t>
      </w:r>
    </w:p>
    <w:p w14:paraId="0CE183DF">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、预算</w:t>
      </w:r>
      <w:r>
        <w:rPr>
          <w:rFonts w:hint="eastAsia" w:ascii="宋体" w:hAnsi="宋体" w:eastAsia="宋体" w:cs="宋体"/>
          <w:color w:val="auto"/>
          <w:kern w:val="0"/>
          <w:szCs w:val="21"/>
          <w:highlight w:val="none"/>
        </w:rPr>
        <w:t>金额：</w:t>
      </w:r>
      <w:r>
        <w:rPr>
          <w:rFonts w:hint="eastAsia" w:ascii="宋体" w:hAnsi="宋体" w:eastAsia="宋体" w:cs="宋体"/>
          <w:color w:val="auto"/>
          <w:kern w:val="0"/>
          <w:szCs w:val="21"/>
          <w:highlight w:val="none"/>
          <w:lang w:val="en-US" w:eastAsia="zh-CN"/>
        </w:rPr>
        <w:t>51</w:t>
      </w:r>
      <w:r>
        <w:rPr>
          <w:rFonts w:hint="eastAsia" w:ascii="宋体" w:hAnsi="宋体" w:eastAsia="宋体" w:cs="宋体"/>
          <w:color w:val="auto"/>
          <w:kern w:val="0"/>
          <w:szCs w:val="21"/>
          <w:highlight w:val="none"/>
        </w:rPr>
        <w:t>万元</w:t>
      </w:r>
    </w:p>
    <w:p w14:paraId="6C42E69B">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、本项目设定最高限价，按照预算金额下浮7%为</w:t>
      </w:r>
      <w:r>
        <w:rPr>
          <w:rFonts w:hint="eastAsia" w:ascii="宋体" w:hAnsi="宋体" w:eastAsia="宋体" w:cs="宋体"/>
          <w:color w:val="auto"/>
          <w:kern w:val="0"/>
          <w:szCs w:val="21"/>
          <w:highlight w:val="none"/>
          <w:lang w:val="en-US" w:eastAsia="zh-CN"/>
        </w:rPr>
        <w:t>47.43</w:t>
      </w:r>
      <w:r>
        <w:rPr>
          <w:rFonts w:hint="eastAsia" w:ascii="宋体" w:hAnsi="宋体" w:eastAsia="宋体" w:cs="宋体"/>
          <w:color w:val="auto"/>
          <w:kern w:val="0"/>
          <w:szCs w:val="21"/>
          <w:highlight w:val="none"/>
        </w:rPr>
        <w:t>万元，报价超过最高限价的为无效报价，按照无效响应处理。</w:t>
      </w:r>
    </w:p>
    <w:p w14:paraId="560B6A61">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、养护面积：约</w:t>
      </w:r>
      <w:r>
        <w:rPr>
          <w:rFonts w:hint="eastAsia" w:ascii="宋体" w:hAnsi="宋体" w:eastAsia="宋体" w:cs="宋体"/>
          <w:color w:val="auto"/>
          <w:kern w:val="0"/>
          <w:szCs w:val="21"/>
          <w:highlight w:val="none"/>
          <w:lang w:val="en-US" w:eastAsia="zh-CN"/>
        </w:rPr>
        <w:t>150000</w:t>
      </w:r>
      <w:r>
        <w:rPr>
          <w:rFonts w:hint="eastAsia" w:ascii="宋体" w:hAnsi="宋体" w:eastAsia="宋体" w:cs="宋体"/>
          <w:color w:val="auto"/>
          <w:kern w:val="0"/>
          <w:szCs w:val="21"/>
          <w:highlight w:val="none"/>
        </w:rPr>
        <w:t>m²。</w:t>
      </w:r>
    </w:p>
    <w:p w14:paraId="63906AAB">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、养护等级：绿化二级养护。</w:t>
      </w:r>
    </w:p>
    <w:p w14:paraId="1540EAF5">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、养护期：二级养护一年。</w:t>
      </w:r>
    </w:p>
    <w:p w14:paraId="66399022">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、投标单价中包含更换草花的费用，根据甲方指令一年至少更换4次时令花卉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每次更换面积至少为</w:t>
      </w:r>
      <w:r>
        <w:rPr>
          <w:rFonts w:hint="eastAsia" w:ascii="宋体" w:hAnsi="宋体" w:eastAsia="宋体" w:cs="宋体"/>
          <w:color w:val="auto"/>
          <w:kern w:val="0"/>
          <w:szCs w:val="21"/>
          <w:highlight w:val="none"/>
          <w:lang w:val="en-US" w:eastAsia="zh-CN"/>
        </w:rPr>
        <w:t>70</w:t>
      </w:r>
      <w:r>
        <w:rPr>
          <w:rFonts w:hint="eastAsia" w:ascii="宋体" w:hAnsi="宋体" w:eastAsia="宋体" w:cs="宋体"/>
          <w:color w:val="auto"/>
          <w:kern w:val="0"/>
          <w:szCs w:val="21"/>
          <w:highlight w:val="none"/>
        </w:rPr>
        <w:t>0m²,100</w:t>
      </w:r>
      <w:r>
        <w:rPr>
          <w:rFonts w:hint="eastAsia" w:ascii="宋体" w:hAnsi="宋体" w:eastAsia="宋体" w:cs="宋体"/>
          <w:color w:val="auto"/>
          <w:kern w:val="0"/>
          <w:szCs w:val="21"/>
          <w:highlight w:val="none"/>
          <w:lang w:val="en-US" w:eastAsia="zh-CN"/>
        </w:rPr>
        <w:t>株</w:t>
      </w:r>
      <w:r>
        <w:rPr>
          <w:rFonts w:hint="eastAsia" w:ascii="宋体" w:hAnsi="宋体" w:eastAsia="宋体" w:cs="宋体"/>
          <w:color w:val="auto"/>
          <w:kern w:val="0"/>
          <w:szCs w:val="21"/>
          <w:highlight w:val="none"/>
        </w:rPr>
        <w:t>/m²</w:t>
      </w:r>
      <w:r>
        <w:rPr>
          <w:rFonts w:hint="eastAsia" w:ascii="宋体" w:hAnsi="宋体" w:cs="宋体"/>
          <w:color w:val="auto"/>
          <w:kern w:val="0"/>
          <w:sz w:val="21"/>
          <w:szCs w:val="21"/>
          <w:highlight w:val="none"/>
          <w:vertAlign w:val="superscript"/>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且草花花期不得低于3个月。</w:t>
      </w:r>
    </w:p>
    <w:p w14:paraId="77EECE25">
      <w:pPr>
        <w:keepNext w:val="0"/>
        <w:keepLines w:val="0"/>
        <w:pageBreakBefore w:val="0"/>
        <w:widowControl w:val="0"/>
        <w:numPr>
          <w:ilvl w:val="0"/>
          <w:numId w:val="8"/>
        </w:numPr>
        <w:kinsoku/>
        <w:wordWrap/>
        <w:overflowPunct/>
        <w:topLinePunct w:val="0"/>
        <w:bidi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kern w:val="0"/>
          <w:szCs w:val="21"/>
          <w:highlight w:val="none"/>
          <w:lang w:val="en-US" w:eastAsia="zh-CN"/>
        </w:rPr>
        <w:t>绿化养护标准</w:t>
      </w:r>
    </w:p>
    <w:p w14:paraId="0F413A7E">
      <w:pPr>
        <w:keepNext w:val="0"/>
        <w:keepLines w:val="0"/>
        <w:pageBreakBefore w:val="0"/>
        <w:widowControl w:val="0"/>
        <w:numPr>
          <w:ilvl w:val="0"/>
          <w:numId w:val="0"/>
        </w:numPr>
        <w:kinsoku/>
        <w:wordWrap/>
        <w:overflowPunct/>
        <w:topLinePunct w:val="0"/>
        <w:bidi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乔木养护管理标准</w:t>
      </w:r>
    </w:p>
    <w:p w14:paraId="2733C61C">
      <w:pPr>
        <w:numPr>
          <w:ilvl w:val="0"/>
          <w:numId w:val="9"/>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生长势正常，枝叶正常，无枯枝残叶；</w:t>
      </w:r>
    </w:p>
    <w:p w14:paraId="6A9098EF">
      <w:pPr>
        <w:numPr>
          <w:ilvl w:val="0"/>
          <w:numId w:val="9"/>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充分考虑树木与环境的关系，依据树龄及生长势强弱进行修剪；</w:t>
      </w:r>
    </w:p>
    <w:p w14:paraId="563F8596">
      <w:pPr>
        <w:numPr>
          <w:ilvl w:val="0"/>
          <w:numId w:val="9"/>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及时剪去干枯枝叶和病枝；</w:t>
      </w:r>
    </w:p>
    <w:p w14:paraId="6BCE947E">
      <w:pPr>
        <w:numPr>
          <w:ilvl w:val="0"/>
          <w:numId w:val="9"/>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适时灌溉、施肥，对高龄树木进行复壮；</w:t>
      </w:r>
    </w:p>
    <w:p w14:paraId="2A2AD49E">
      <w:pPr>
        <w:numPr>
          <w:ilvl w:val="0"/>
          <w:numId w:val="9"/>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及时补植，力求苗木、规格等与原有的接近；</w:t>
      </w:r>
    </w:p>
    <w:p w14:paraId="39889A10">
      <w:pPr>
        <w:numPr>
          <w:ilvl w:val="0"/>
          <w:numId w:val="9"/>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病虫害防治，以防为主，精心管理、早发现早处理。</w:t>
      </w:r>
    </w:p>
    <w:p w14:paraId="642C17B0">
      <w:pPr>
        <w:numPr>
          <w:ilvl w:val="0"/>
          <w:numId w:val="0"/>
        </w:numPr>
        <w:spacing w:line="360" w:lineRule="auto"/>
        <w:ind w:left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花灌木养护管理标准</w:t>
      </w:r>
    </w:p>
    <w:p w14:paraId="6C022FBE">
      <w:pPr>
        <w:numPr>
          <w:ilvl w:val="0"/>
          <w:numId w:val="10"/>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生长势正常，无枯枝残叶；</w:t>
      </w:r>
    </w:p>
    <w:p w14:paraId="280E1868">
      <w:pPr>
        <w:numPr>
          <w:ilvl w:val="0"/>
          <w:numId w:val="10"/>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造型美观，与环境协调；花灌木可适时开花，及时修剪残花败叶；</w:t>
      </w:r>
    </w:p>
    <w:p w14:paraId="35E1E55F">
      <w:pPr>
        <w:numPr>
          <w:ilvl w:val="0"/>
          <w:numId w:val="10"/>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根据生长及开花特性进行合理灌溉和施肥；</w:t>
      </w:r>
    </w:p>
    <w:p w14:paraId="7B608A9A">
      <w:pPr>
        <w:numPr>
          <w:ilvl w:val="0"/>
          <w:numId w:val="10"/>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及时防除杂草；</w:t>
      </w:r>
    </w:p>
    <w:p w14:paraId="237D256B">
      <w:pPr>
        <w:numPr>
          <w:ilvl w:val="0"/>
          <w:numId w:val="10"/>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病虫害防治，以防为主，精心管理，早发现早处理。</w:t>
      </w:r>
    </w:p>
    <w:p w14:paraId="6920E69B">
      <w:pPr>
        <w:numPr>
          <w:ilvl w:val="0"/>
          <w:numId w:val="0"/>
        </w:numPr>
        <w:spacing w:line="360" w:lineRule="auto"/>
        <w:ind w:leftChars="20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绿篱、色块养护管理标准</w:t>
      </w:r>
    </w:p>
    <w:p w14:paraId="44EFC96D">
      <w:pPr>
        <w:numPr>
          <w:ilvl w:val="0"/>
          <w:numId w:val="11"/>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修剪应使轮廓清楚，线条整齐，每年整形修剪不少于2次；</w:t>
      </w:r>
    </w:p>
    <w:p w14:paraId="5A848F26">
      <w:pPr>
        <w:numPr>
          <w:ilvl w:val="0"/>
          <w:numId w:val="11"/>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修剪后残留的枝叶应及时清除干净；</w:t>
      </w:r>
    </w:p>
    <w:p w14:paraId="539B998C">
      <w:pPr>
        <w:numPr>
          <w:ilvl w:val="0"/>
          <w:numId w:val="11"/>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适时灌溉和施肥、防治病虫害及杂草。</w:t>
      </w:r>
    </w:p>
    <w:p w14:paraId="55B1DC81">
      <w:pPr>
        <w:numPr>
          <w:ilvl w:val="0"/>
          <w:numId w:val="0"/>
        </w:numPr>
        <w:spacing w:line="360" w:lineRule="auto"/>
        <w:ind w:left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草坪养护管理标准</w:t>
      </w:r>
    </w:p>
    <w:p w14:paraId="3A2B283C">
      <w:pPr>
        <w:numPr>
          <w:ilvl w:val="0"/>
          <w:numId w:val="12"/>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根据绿地条件和草坪的功能进行养护管理；</w:t>
      </w:r>
    </w:p>
    <w:p w14:paraId="5B94FB7E">
      <w:pPr>
        <w:numPr>
          <w:ilvl w:val="0"/>
          <w:numId w:val="12"/>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草坪草生长旺盛，生机勃勃，整齐雅观，覆盖率达≥90%，杂草率≤5%，绿期240天以上，无明显坑洼积水，裸露地及时补植、补种；</w:t>
      </w:r>
    </w:p>
    <w:p w14:paraId="148B72AA">
      <w:pPr>
        <w:numPr>
          <w:ilvl w:val="0"/>
          <w:numId w:val="12"/>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根据不同草种的特性和观赏效果、使用方向，进行定期修剪，使草坪的高度一致，边缘整齐；</w:t>
      </w:r>
    </w:p>
    <w:p w14:paraId="6E1E3C80">
      <w:pPr>
        <w:numPr>
          <w:ilvl w:val="0"/>
          <w:numId w:val="12"/>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草坪的留茬高度、修剪次数因草坪草种类、季节、环境等因素而定，切实遵守“1/3”原则；</w:t>
      </w:r>
    </w:p>
    <w:p w14:paraId="2D551B6A">
      <w:pPr>
        <w:numPr>
          <w:ilvl w:val="0"/>
          <w:numId w:val="12"/>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草坪灌溉应适时、适量，务必灌好返青水和越冬水；</w:t>
      </w:r>
    </w:p>
    <w:p w14:paraId="62E8A5A6">
      <w:pPr>
        <w:numPr>
          <w:ilvl w:val="0"/>
          <w:numId w:val="12"/>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草坪施肥时期、施肥量应根据草坪草的生长状况而定，施肥必须均匀，颗粒型追肥应及时灌水；</w:t>
      </w:r>
    </w:p>
    <w:p w14:paraId="35AD2DC3">
      <w:pPr>
        <w:numPr>
          <w:ilvl w:val="0"/>
          <w:numId w:val="12"/>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及时进行病虫害防治，清除杂草；</w:t>
      </w:r>
    </w:p>
    <w:p w14:paraId="60C0D6C6">
      <w:pPr>
        <w:numPr>
          <w:ilvl w:val="0"/>
          <w:numId w:val="0"/>
        </w:numPr>
        <w:spacing w:line="360" w:lineRule="auto"/>
        <w:ind w:left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绿地及设施的容貌</w:t>
      </w:r>
    </w:p>
    <w:p w14:paraId="58A2D445">
      <w:pPr>
        <w:numPr>
          <w:ilvl w:val="0"/>
          <w:numId w:val="13"/>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随时保持绿地清洁、美观。</w:t>
      </w:r>
    </w:p>
    <w:p w14:paraId="505FA7BF">
      <w:pPr>
        <w:numPr>
          <w:ilvl w:val="0"/>
          <w:numId w:val="13"/>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及时清运草屑、树枝、死树等施工残留物，现场堆放时间不得超过当天。</w:t>
      </w:r>
    </w:p>
    <w:p w14:paraId="06C08D7E">
      <w:pPr>
        <w:keepNext w:val="0"/>
        <w:keepLines w:val="0"/>
        <w:pageBreakBefore w:val="0"/>
        <w:widowControl w:val="0"/>
        <w:kinsoku/>
        <w:wordWrap/>
        <w:overflowPunct/>
        <w:topLinePunct w:val="0"/>
        <w:bidi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三、考核要求</w:t>
      </w:r>
    </w:p>
    <w:p w14:paraId="4AB07443">
      <w:pPr>
        <w:keepNext w:val="0"/>
        <w:keepLines w:val="0"/>
        <w:pageBreakBefore w:val="0"/>
        <w:widowControl w:val="0"/>
        <w:kinsoku/>
        <w:wordWrap/>
        <w:overflowPunct/>
        <w:topLinePunct w:val="0"/>
        <w:bidi w:val="0"/>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、考核要求</w:t>
      </w:r>
    </w:p>
    <w:p w14:paraId="6221F210">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为促进扬州市城市绿地养护管理工作规范化、制度化，进一步强化考核工作，提高养护管理水平，</w:t>
      </w:r>
      <w:r>
        <w:rPr>
          <w:rFonts w:hint="eastAsia" w:ascii="宋体" w:hAnsi="宋体" w:cs="宋体"/>
          <w:color w:val="auto"/>
          <w:szCs w:val="21"/>
          <w:highlight w:val="none"/>
        </w:rPr>
        <w:t>根据《江苏省城市园林绿化养护管理规范及分级标准》及《扬州市市区城市绿化养护管理考核办法（试行）》</w:t>
      </w:r>
      <w:r>
        <w:rPr>
          <w:rFonts w:hint="eastAsia" w:ascii="宋体" w:hAnsi="宋体"/>
          <w:color w:val="auto"/>
          <w:szCs w:val="21"/>
          <w:highlight w:val="none"/>
        </w:rPr>
        <w:t>，</w:t>
      </w:r>
      <w:r>
        <w:rPr>
          <w:rFonts w:hint="eastAsia" w:ascii="宋体" w:hAnsi="宋体" w:cs="宋体"/>
          <w:color w:val="auto"/>
          <w:szCs w:val="21"/>
          <w:highlight w:val="none"/>
        </w:rPr>
        <w:t>结合绿化实际情况，</w:t>
      </w:r>
      <w:r>
        <w:rPr>
          <w:rFonts w:hint="eastAsia" w:ascii="宋体" w:hAnsi="宋体"/>
          <w:color w:val="auto"/>
          <w:szCs w:val="21"/>
          <w:highlight w:val="none"/>
        </w:rPr>
        <w:t>制定本考核细则。</w:t>
      </w:r>
    </w:p>
    <w:p w14:paraId="5B6B11B8">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（1）、考核范围</w:t>
      </w:r>
    </w:p>
    <w:p w14:paraId="6E24378B">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中标单位所中标的绿化养护管理区域。</w:t>
      </w:r>
    </w:p>
    <w:p w14:paraId="11A1928F">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（2）、考核要求</w:t>
      </w:r>
    </w:p>
    <w:p w14:paraId="4C363D50">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发包人代表负责绿地养护管理的日常验收考核工作。有关考核人员应遵循公开、公平、公正的原则，认真、严格地考核评分，确保考核工作扎实有效。</w:t>
      </w:r>
    </w:p>
    <w:p w14:paraId="2AA48614">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每月考核结果由扬州维投</w:t>
      </w:r>
      <w:r>
        <w:rPr>
          <w:rFonts w:hint="eastAsia" w:ascii="宋体" w:hAnsi="宋体"/>
          <w:color w:val="auto"/>
          <w:szCs w:val="21"/>
          <w:highlight w:val="none"/>
          <w:lang w:val="en-US" w:eastAsia="zh-CN"/>
        </w:rPr>
        <w:t>经营</w:t>
      </w:r>
      <w:r>
        <w:rPr>
          <w:rFonts w:hint="eastAsia" w:ascii="宋体" w:hAnsi="宋体"/>
          <w:color w:val="auto"/>
          <w:szCs w:val="21"/>
          <w:highlight w:val="none"/>
        </w:rPr>
        <w:t>管理有限公司在次月初以书面形式通知养护单位。</w:t>
      </w:r>
    </w:p>
    <w:p w14:paraId="3F26C5F7">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（3）、考核项目</w:t>
      </w:r>
    </w:p>
    <w:p w14:paraId="03B4FB4E">
      <w:pPr>
        <w:keepNext w:val="0"/>
        <w:keepLines w:val="0"/>
        <w:pageBreakBefore w:val="0"/>
        <w:widowControl w:val="0"/>
        <w:kinsoku/>
        <w:wordWrap/>
        <w:overflowPunct/>
        <w:topLinePunct w:val="0"/>
        <w:bidi w:val="0"/>
        <w:spacing w:line="400" w:lineRule="exact"/>
        <w:ind w:firstLine="482"/>
        <w:rPr>
          <w:rFonts w:hint="eastAsia" w:ascii="宋体" w:hAnsi="宋体" w:eastAsia="宋体"/>
          <w:color w:val="auto"/>
          <w:szCs w:val="21"/>
          <w:highlight w:val="none"/>
          <w:lang w:eastAsia="zh-CN"/>
        </w:rPr>
      </w:pPr>
      <w:r>
        <w:rPr>
          <w:rFonts w:hint="eastAsia" w:ascii="宋体" w:hAnsi="宋体"/>
          <w:color w:val="auto"/>
          <w:szCs w:val="21"/>
          <w:highlight w:val="none"/>
        </w:rPr>
        <w:t>考核项目分：修剪剥芽、施肥、病虫害防治、除草及树池维护、浇水排涝及防冻处理、保存率、卫生保洁、绿地保护及设施维护、安全生产、资料档案、发包人定期和不定期对承包范围巡查及其他</w:t>
      </w:r>
      <w:r>
        <w:rPr>
          <w:rFonts w:hint="eastAsia" w:ascii="宋体" w:hAnsi="宋体"/>
          <w:color w:val="auto"/>
          <w:szCs w:val="21"/>
          <w:highlight w:val="none"/>
          <w:lang w:eastAsia="zh-CN"/>
        </w:rPr>
        <w:t>。</w:t>
      </w:r>
    </w:p>
    <w:p w14:paraId="5B30B6EA">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（4）、考核办法</w:t>
      </w:r>
    </w:p>
    <w:p w14:paraId="10876395">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每月采用定期考核与巡查考核相结合的方式进行全面考核。</w:t>
      </w:r>
    </w:p>
    <w:p w14:paraId="7F290A90">
      <w:pPr>
        <w:keepNext w:val="0"/>
        <w:keepLines w:val="0"/>
        <w:pageBreakBefore w:val="0"/>
        <w:widowControl w:val="0"/>
        <w:kinsoku/>
        <w:wordWrap/>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①定期考核：每个月下旬由发包人进行专项考核，当次考核人员考核的平均分即为当月得分。</w:t>
      </w:r>
    </w:p>
    <w:p w14:paraId="65CFA1E5">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②巡查考核：由发包人代表不定期进行巡查，一旦发现问题及时通报养护负责人，在规定整改时间内整改到位不予追加扣分，否则，在月底考核内扣除相应的分数。</w:t>
      </w:r>
    </w:p>
    <w:p w14:paraId="7ED9BC36">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（5）、考核评分</w:t>
      </w:r>
    </w:p>
    <w:p w14:paraId="6BBFA5EB">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①考核实行百分制</w:t>
      </w:r>
    </w:p>
    <w:p w14:paraId="7E9B0F54">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u w:val="single"/>
        </w:rPr>
      </w:pPr>
      <w:r>
        <w:rPr>
          <w:rFonts w:hint="eastAsia" w:ascii="宋体" w:hAnsi="宋体"/>
          <w:color w:val="auto"/>
          <w:szCs w:val="21"/>
          <w:highlight w:val="none"/>
        </w:rPr>
        <w:t>②因养护管理不当，出现以下情况的，每次加扣三分：</w:t>
      </w:r>
    </w:p>
    <w:p w14:paraId="4AEE69E0">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受到上级领导点名批评、情节严重的</w:t>
      </w:r>
      <w:r>
        <w:rPr>
          <w:rFonts w:hint="eastAsia" w:ascii="宋体" w:hAnsi="宋体"/>
          <w:color w:val="auto"/>
          <w:szCs w:val="21"/>
          <w:highlight w:val="none"/>
          <w:lang w:eastAsia="zh-CN"/>
        </w:rPr>
        <w:t>；</w:t>
      </w:r>
      <w:r>
        <w:rPr>
          <w:rFonts w:hint="eastAsia" w:ascii="宋体" w:hAnsi="宋体"/>
          <w:color w:val="auto"/>
          <w:szCs w:val="21"/>
          <w:highlight w:val="none"/>
        </w:rPr>
        <w:t>经媒体曝光查实的；群众举报查实的</w:t>
      </w:r>
      <w:r>
        <w:rPr>
          <w:rFonts w:hint="eastAsia" w:ascii="宋体" w:hAnsi="宋体"/>
          <w:color w:val="auto"/>
          <w:szCs w:val="21"/>
          <w:highlight w:val="none"/>
          <w:lang w:eastAsia="zh-CN"/>
        </w:rPr>
        <w:t>；</w:t>
      </w:r>
      <w:r>
        <w:rPr>
          <w:rFonts w:hint="eastAsia" w:ascii="宋体" w:hAnsi="宋体"/>
          <w:color w:val="auto"/>
          <w:szCs w:val="21"/>
          <w:highlight w:val="none"/>
        </w:rPr>
        <w:t>未按时处理绿化数字化案件而失分的。</w:t>
      </w:r>
    </w:p>
    <w:p w14:paraId="14DDEDE5">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③考核分数92分为基准分值，当月考核得分率为100%，每低于基准分1分，</w:t>
      </w:r>
      <w:r>
        <w:rPr>
          <w:rFonts w:ascii="宋体" w:hAnsi="宋体"/>
          <w:color w:val="auto"/>
          <w:szCs w:val="21"/>
          <w:highlight w:val="none"/>
        </w:rPr>
        <w:t>相应扣减当月养护经费贰千元</w:t>
      </w:r>
      <w:r>
        <w:rPr>
          <w:rFonts w:hint="eastAsia" w:ascii="宋体" w:hAnsi="宋体"/>
          <w:color w:val="auto"/>
          <w:szCs w:val="21"/>
          <w:highlight w:val="none"/>
        </w:rPr>
        <w:t>。</w:t>
      </w:r>
    </w:p>
    <w:p w14:paraId="108893DF">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④年度考核中养护标段有三次分值低于88分的或有二次分值低于85分的或有一次分值低于80分的，将取消该标段中标单位养护资格，该标段重新进行招标。</w:t>
      </w:r>
    </w:p>
    <w:p w14:paraId="0FDB75C9">
      <w:pPr>
        <w:keepNext w:val="0"/>
        <w:keepLines w:val="0"/>
        <w:pageBreakBefore w:val="0"/>
        <w:widowControl w:val="0"/>
        <w:kinsoku/>
        <w:wordWrap/>
        <w:overflowPunct/>
        <w:topLinePunct w:val="0"/>
        <w:bidi w:val="0"/>
        <w:spacing w:line="400" w:lineRule="exact"/>
        <w:ind w:firstLine="420" w:firstLineChars="200"/>
        <w:rPr>
          <w:rFonts w:hint="eastAsia" w:hAnsi="宋体"/>
          <w:color w:val="auto"/>
          <w:szCs w:val="21"/>
          <w:highlight w:val="none"/>
        </w:rPr>
      </w:pPr>
      <w:bookmarkStart w:id="132" w:name="_Hlk67474581"/>
      <w:r>
        <w:rPr>
          <w:rFonts w:hint="eastAsia" w:ascii="宋体" w:hAnsi="宋体" w:cs="宋体"/>
          <w:color w:val="auto"/>
          <w:szCs w:val="21"/>
          <w:highlight w:val="none"/>
        </w:rPr>
        <w:t>⑤</w:t>
      </w:r>
      <w:bookmarkEnd w:id="132"/>
      <w:r>
        <w:rPr>
          <w:rFonts w:hAnsi="宋体"/>
          <w:color w:val="auto"/>
          <w:szCs w:val="21"/>
          <w:highlight w:val="none"/>
        </w:rPr>
        <w:t>接甲方通知后，乙方更换草花且草花花期不得低于3个月，更换结束需要通知甲方验收，甲方验收发现草花面积或单位面积株数不足等问题，发现一次扣减人民币叁万元。</w:t>
      </w:r>
    </w:p>
    <w:p w14:paraId="4C46EC16">
      <w:pPr>
        <w:keepNext w:val="0"/>
        <w:keepLines w:val="0"/>
        <w:pageBreakBefore w:val="0"/>
        <w:widowControl w:val="0"/>
        <w:kinsoku/>
        <w:wordWrap/>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、处罚</w:t>
      </w:r>
    </w:p>
    <w:p w14:paraId="721D0B23">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（1）养护单位</w:t>
      </w:r>
      <w:r>
        <w:rPr>
          <w:rFonts w:hint="eastAsia" w:ascii="宋体" w:hAnsi="宋体" w:cs="宋体"/>
          <w:color w:val="auto"/>
          <w:szCs w:val="21"/>
          <w:highlight w:val="none"/>
        </w:rPr>
        <w:t>应在规定期限内完成对考核中发现问题的整改，限期内未整改或未整改到位的，发包人代表将派出人员进行处理，所产生一切费用，在养护单位当月养护经费中扣除</w:t>
      </w:r>
      <w:r>
        <w:rPr>
          <w:rFonts w:hint="eastAsia" w:ascii="宋体" w:hAnsi="宋体"/>
          <w:color w:val="auto"/>
          <w:szCs w:val="21"/>
          <w:highlight w:val="none"/>
        </w:rPr>
        <w:t>。</w:t>
      </w:r>
    </w:p>
    <w:p w14:paraId="0C6EC04D">
      <w:pPr>
        <w:keepNext w:val="0"/>
        <w:keepLines w:val="0"/>
        <w:pageBreakBefore w:val="0"/>
        <w:widowControl w:val="0"/>
        <w:kinsoku/>
        <w:wordWrap/>
        <w:overflowPunct/>
        <w:topLinePunct w:val="0"/>
        <w:bidi w:val="0"/>
        <w:spacing w:line="400" w:lineRule="exact"/>
        <w:ind w:firstLine="482"/>
        <w:rPr>
          <w:rFonts w:hint="eastAsia"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养护单位在养护管理期内造成绿化死亡的，养护单位应造价赔偿或者自行补栽相对应的植物，且质量、规格、数量必须经发包人的认可；限期内未整改或未整改到位的，发包人将派出人员进行处理，所产生一切费用，在养护单位当月养护经费中扣除。</w:t>
      </w:r>
    </w:p>
    <w:p w14:paraId="3C70D54D">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、安全要求</w:t>
      </w:r>
    </w:p>
    <w:p w14:paraId="3C3D69E0">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（1）在养护期间，中标单位承担养护管理范围内的一切安全责任。</w:t>
      </w:r>
    </w:p>
    <w:p w14:paraId="72362D47">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（2）因台风、暴雨、暴雪、交通事故或设施损坏等因素而突发紧急情况时，养护单位必须第一时间组织人员抢险救灾，排除安全隐患并将具体情况、处理费用报</w:t>
      </w:r>
      <w:r>
        <w:rPr>
          <w:rFonts w:hint="eastAsia" w:ascii="宋体" w:hAnsi="宋体" w:cs="宋体"/>
          <w:color w:val="auto"/>
          <w:szCs w:val="21"/>
          <w:highlight w:val="none"/>
        </w:rPr>
        <w:t>发包人职能科室审核</w:t>
      </w:r>
      <w:r>
        <w:rPr>
          <w:rFonts w:hint="eastAsia" w:ascii="宋体" w:hAnsi="宋体"/>
          <w:color w:val="auto"/>
          <w:szCs w:val="21"/>
          <w:highlight w:val="none"/>
        </w:rPr>
        <w:t>。</w:t>
      </w:r>
      <w:r>
        <w:rPr>
          <w:rFonts w:hint="eastAsia" w:ascii="宋体" w:hAnsi="宋体" w:cs="宋体"/>
          <w:color w:val="auto"/>
          <w:szCs w:val="21"/>
          <w:highlight w:val="none"/>
        </w:rPr>
        <w:t>如养护单位未及时处理，发包人将派出人员进行处理，所产生的一切费用，在当年的绿化养护费中支付。因养护单位未及时处理而造成财产损失、人员伤害的，养护单位需承担一切责任，如造成恶劣影响的</w:t>
      </w:r>
      <w:r>
        <w:rPr>
          <w:rFonts w:hint="eastAsia" w:ascii="宋体" w:hAnsi="宋体"/>
          <w:color w:val="auto"/>
          <w:szCs w:val="21"/>
          <w:highlight w:val="none"/>
        </w:rPr>
        <w:t>将取消其养护资格。</w:t>
      </w:r>
    </w:p>
    <w:p w14:paraId="0EFAADEE">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、补充说明</w:t>
      </w:r>
    </w:p>
    <w:p w14:paraId="6936EC4E">
      <w:pPr>
        <w:keepNext w:val="0"/>
        <w:keepLines w:val="0"/>
        <w:pageBreakBefore w:val="0"/>
        <w:widowControl w:val="0"/>
        <w:kinsoku/>
        <w:wordWrap/>
        <w:overflowPunct/>
        <w:topLinePunct w:val="0"/>
        <w:bidi w:val="0"/>
        <w:spacing w:line="400" w:lineRule="exact"/>
        <w:ind w:firstLine="482"/>
        <w:rPr>
          <w:rFonts w:hint="eastAsia" w:ascii="宋体" w:hAnsi="宋体"/>
          <w:color w:val="auto"/>
          <w:szCs w:val="21"/>
          <w:highlight w:val="none"/>
        </w:rPr>
      </w:pPr>
      <w:r>
        <w:rPr>
          <w:rFonts w:hint="eastAsia" w:ascii="宋体" w:hAnsi="宋体"/>
          <w:color w:val="auto"/>
          <w:szCs w:val="21"/>
          <w:highlight w:val="none"/>
        </w:rPr>
        <w:t>自合同签订以后，若发生政策性调整或不可抗力等因素而需终止合同的（例如政府区域重新调整、绿地苗木迁移等），则双方自行终止合同，互不承担责任。</w:t>
      </w:r>
    </w:p>
    <w:p w14:paraId="52AC2EC2">
      <w:pPr>
        <w:pStyle w:val="2"/>
        <w:rPr>
          <w:rFonts w:eastAsia="宋体"/>
          <w:color w:val="auto"/>
          <w:highlight w:val="none"/>
          <w:lang w:val="en-US" w:eastAsia="zh-CN"/>
        </w:rPr>
      </w:pPr>
      <w:r>
        <w:rPr>
          <w:rFonts w:hint="eastAsia" w:ascii="宋体" w:hAnsi="宋体"/>
          <w:color w:val="auto"/>
          <w:szCs w:val="21"/>
          <w:highlight w:val="none"/>
          <w:lang w:val="en-US" w:eastAsia="zh-CN"/>
        </w:rPr>
        <w:t>5、考核细则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5"/>
        <w:gridCol w:w="3783"/>
        <w:gridCol w:w="4450"/>
        <w:gridCol w:w="593"/>
      </w:tblGrid>
      <w:tr w14:paraId="7E0B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055" w:type="dxa"/>
            <w:vAlign w:val="center"/>
          </w:tcPr>
          <w:p w14:paraId="5C3C2B16">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w:t>
            </w:r>
          </w:p>
          <w:p w14:paraId="5A7E72BB">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名称</w:t>
            </w:r>
          </w:p>
        </w:tc>
        <w:tc>
          <w:tcPr>
            <w:tcW w:w="3783" w:type="dxa"/>
            <w:vAlign w:val="center"/>
          </w:tcPr>
          <w:p w14:paraId="3A64790E">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考核细则及工作要求</w:t>
            </w:r>
          </w:p>
        </w:tc>
        <w:tc>
          <w:tcPr>
            <w:tcW w:w="4450" w:type="dxa"/>
            <w:vAlign w:val="center"/>
          </w:tcPr>
          <w:p w14:paraId="28F5AD74">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扣分标准</w:t>
            </w:r>
          </w:p>
        </w:tc>
        <w:tc>
          <w:tcPr>
            <w:tcW w:w="593" w:type="dxa"/>
            <w:vAlign w:val="center"/>
          </w:tcPr>
          <w:p w14:paraId="341F4650">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扣分</w:t>
            </w:r>
          </w:p>
        </w:tc>
      </w:tr>
      <w:tr w14:paraId="34A19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55" w:type="dxa"/>
            <w:vMerge w:val="restart"/>
            <w:vAlign w:val="center"/>
          </w:tcPr>
          <w:p w14:paraId="34D6909F">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修剪</w:t>
            </w:r>
          </w:p>
          <w:p w14:paraId="46986899">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剥芽</w:t>
            </w:r>
          </w:p>
          <w:p w14:paraId="51192AE3">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（16分）</w:t>
            </w:r>
          </w:p>
        </w:tc>
        <w:tc>
          <w:tcPr>
            <w:tcW w:w="3783" w:type="dxa"/>
            <w:vMerge w:val="restart"/>
            <w:vAlign w:val="center"/>
          </w:tcPr>
          <w:p w14:paraId="45EA54A1">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乔木（行道树）</w:t>
            </w:r>
          </w:p>
          <w:p w14:paraId="119027D3">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1、根据树木生长习性，及时修剪定形，截口平整，不拉伤树皮，截口涂抹防腐剂；无枯枝危枝，生长季节无异常黄叶；                  </w:t>
            </w:r>
          </w:p>
          <w:p w14:paraId="0F559EE2">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2、同一路段相同树种的行道树,树形留养一致，枝条分布均匀； </w:t>
            </w:r>
          </w:p>
          <w:p w14:paraId="63A29A49">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3、妥善处理树线、树屋矛盾，无事故隐患；</w:t>
            </w:r>
          </w:p>
          <w:p w14:paraId="0B79F59E">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4、根据树种确定剥芽次数及剥芽部位。剥芽需及时，芽长不超过10cm；剥芽时不允许拉伤树皮。</w:t>
            </w:r>
          </w:p>
        </w:tc>
        <w:tc>
          <w:tcPr>
            <w:tcW w:w="4450" w:type="dxa"/>
            <w:vAlign w:val="center"/>
          </w:tcPr>
          <w:p w14:paraId="7B07E8B4">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（1）发现树皮拉伤或有异常枯黄枝叶等现象，每株每次扣0.5分。</w:t>
            </w:r>
          </w:p>
        </w:tc>
        <w:tc>
          <w:tcPr>
            <w:tcW w:w="593" w:type="dxa"/>
            <w:vAlign w:val="center"/>
          </w:tcPr>
          <w:p w14:paraId="7196F331">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17984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055" w:type="dxa"/>
            <w:vMerge w:val="continue"/>
            <w:vAlign w:val="center"/>
          </w:tcPr>
          <w:p w14:paraId="3F27A112">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4C5AE8C2">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3F3AA826">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（2）发现未按树种要求修剪，每株每次扣1分</w:t>
            </w:r>
          </w:p>
        </w:tc>
        <w:tc>
          <w:tcPr>
            <w:tcW w:w="593" w:type="dxa"/>
            <w:vAlign w:val="center"/>
          </w:tcPr>
          <w:p w14:paraId="040A5387">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278C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055" w:type="dxa"/>
            <w:vMerge w:val="continue"/>
            <w:vAlign w:val="center"/>
          </w:tcPr>
          <w:p w14:paraId="58EA52D5">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4648CF3A">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6ABECCA7">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（3）未及时处理树线、树屋矛盾，每处每次扣1分。</w:t>
            </w:r>
          </w:p>
        </w:tc>
        <w:tc>
          <w:tcPr>
            <w:tcW w:w="593" w:type="dxa"/>
            <w:vAlign w:val="center"/>
          </w:tcPr>
          <w:p w14:paraId="4A84DD6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4BE5C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055" w:type="dxa"/>
            <w:vMerge w:val="continue"/>
            <w:vAlign w:val="center"/>
          </w:tcPr>
          <w:p w14:paraId="03B3B2BD">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2F390DC2">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457CAB6D">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（4）发现剥芽未剥清或未剥到位，每株每次扣0.5分。</w:t>
            </w:r>
          </w:p>
        </w:tc>
        <w:tc>
          <w:tcPr>
            <w:tcW w:w="593" w:type="dxa"/>
            <w:vAlign w:val="center"/>
          </w:tcPr>
          <w:p w14:paraId="7EC9BF1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65AB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1055" w:type="dxa"/>
            <w:vMerge w:val="continue"/>
            <w:vAlign w:val="center"/>
          </w:tcPr>
          <w:p w14:paraId="20F418D2">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restart"/>
            <w:vAlign w:val="center"/>
          </w:tcPr>
          <w:p w14:paraId="4EAC48A6">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花灌木修剪</w:t>
            </w:r>
          </w:p>
          <w:p w14:paraId="03431EDA">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1、根据花灌木品种生长习性进行修剪、剥芽（含脚芽）；                              </w:t>
            </w:r>
          </w:p>
          <w:p w14:paraId="2DC5452A">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2、无枯枝败叶，无修后枝叶残存或散落不清。</w:t>
            </w:r>
          </w:p>
        </w:tc>
        <w:tc>
          <w:tcPr>
            <w:tcW w:w="4450" w:type="dxa"/>
            <w:vAlign w:val="center"/>
          </w:tcPr>
          <w:p w14:paraId="4A3C0DA3">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（1）未按要求进行修剪、剥芽，发现一株扣0.5分。</w:t>
            </w:r>
          </w:p>
        </w:tc>
        <w:tc>
          <w:tcPr>
            <w:tcW w:w="593" w:type="dxa"/>
            <w:vAlign w:val="center"/>
          </w:tcPr>
          <w:p w14:paraId="4C2F5B48">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6D8CC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055" w:type="dxa"/>
            <w:vMerge w:val="continue"/>
            <w:vAlign w:val="center"/>
          </w:tcPr>
          <w:p w14:paraId="5CC33A8F">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236A20C1">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7171C7DC">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（2）枯枝败叶未及时清除，发现一处扣0.5分。</w:t>
            </w:r>
          </w:p>
        </w:tc>
        <w:tc>
          <w:tcPr>
            <w:tcW w:w="593" w:type="dxa"/>
            <w:vAlign w:val="center"/>
          </w:tcPr>
          <w:p w14:paraId="0DB6A2A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6E71A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055" w:type="dxa"/>
            <w:vMerge w:val="continue"/>
            <w:vAlign w:val="center"/>
          </w:tcPr>
          <w:p w14:paraId="3F3EB67C">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restart"/>
            <w:vAlign w:val="center"/>
          </w:tcPr>
          <w:p w14:paraId="5D41E43F">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绿篱修剪    </w:t>
            </w:r>
          </w:p>
          <w:p w14:paraId="2795177E">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1、修剪面整齐划一，目测一条线或光滑曲面；  </w:t>
            </w:r>
          </w:p>
          <w:p w14:paraId="134497EB">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2、日常修剪及时到位，不脱脚，不得出现单枝（芽）超出5cm未剪现象。</w:t>
            </w:r>
          </w:p>
        </w:tc>
        <w:tc>
          <w:tcPr>
            <w:tcW w:w="4450" w:type="dxa"/>
            <w:vAlign w:val="center"/>
          </w:tcPr>
          <w:p w14:paraId="46BD99BC">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（1）修剪线条缺断或不一致，发现一处扣1分。</w:t>
            </w:r>
          </w:p>
        </w:tc>
        <w:tc>
          <w:tcPr>
            <w:tcW w:w="593" w:type="dxa"/>
            <w:vAlign w:val="center"/>
          </w:tcPr>
          <w:p w14:paraId="613E14D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0E387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055" w:type="dxa"/>
            <w:vMerge w:val="continue"/>
            <w:vAlign w:val="center"/>
          </w:tcPr>
          <w:p w14:paraId="5DEDA500">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1EA27DFA">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4A1A5C5A">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（2）修后枝叶残存，或单枝（芽）超出5cm未剪现象，发现一处扣0.5分。</w:t>
            </w:r>
          </w:p>
        </w:tc>
        <w:tc>
          <w:tcPr>
            <w:tcW w:w="593" w:type="dxa"/>
            <w:vAlign w:val="center"/>
          </w:tcPr>
          <w:p w14:paraId="0F8BEF9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5E35A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055" w:type="dxa"/>
            <w:vMerge w:val="continue"/>
            <w:vAlign w:val="center"/>
          </w:tcPr>
          <w:p w14:paraId="35EB7EB2">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restart"/>
            <w:vAlign w:val="center"/>
          </w:tcPr>
          <w:p w14:paraId="6F0724F0">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地被草坪修剪   </w:t>
            </w:r>
          </w:p>
          <w:p w14:paraId="184EB0A9">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1、根据不同地被、草坪品种，及时修剪，其中暖季型草坪秋后最后一次需重修； </w:t>
            </w:r>
          </w:p>
          <w:p w14:paraId="53BF8990">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2、草坪中的树坑边缘应切边，保持线条清晰。                                 </w:t>
            </w:r>
          </w:p>
        </w:tc>
        <w:tc>
          <w:tcPr>
            <w:tcW w:w="4450" w:type="dxa"/>
            <w:vAlign w:val="center"/>
          </w:tcPr>
          <w:p w14:paraId="62A84E49">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（1）草坪修剪高度不一致，发现一处扣1分。</w:t>
            </w:r>
          </w:p>
        </w:tc>
        <w:tc>
          <w:tcPr>
            <w:tcW w:w="593" w:type="dxa"/>
            <w:vAlign w:val="center"/>
          </w:tcPr>
          <w:p w14:paraId="38F0BBB1">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2687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055" w:type="dxa"/>
            <w:vMerge w:val="continue"/>
            <w:vAlign w:val="center"/>
          </w:tcPr>
          <w:p w14:paraId="43ABD0F3">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5517D015">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2C39441F">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（2）草坪中的树坑边缘切边不平的，发现一处扣1分。</w:t>
            </w:r>
          </w:p>
        </w:tc>
        <w:tc>
          <w:tcPr>
            <w:tcW w:w="593" w:type="dxa"/>
            <w:vAlign w:val="center"/>
          </w:tcPr>
          <w:p w14:paraId="1D9CC3E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2789E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055" w:type="dxa"/>
            <w:vMerge w:val="restart"/>
            <w:vAlign w:val="center"/>
          </w:tcPr>
          <w:p w14:paraId="2CA99786">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施肥</w:t>
            </w:r>
          </w:p>
          <w:p w14:paraId="74FE0799">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（6分）</w:t>
            </w:r>
          </w:p>
        </w:tc>
        <w:tc>
          <w:tcPr>
            <w:tcW w:w="3783" w:type="dxa"/>
            <w:vMerge w:val="restart"/>
            <w:vAlign w:val="center"/>
          </w:tcPr>
          <w:p w14:paraId="7FF1B93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1、根据植株生长势，及时追肥；</w:t>
            </w:r>
          </w:p>
          <w:p w14:paraId="7F48DDB1">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2、根据草坪生长势，及时施肥，用量适当，不发生灼伤现象。</w:t>
            </w:r>
          </w:p>
        </w:tc>
        <w:tc>
          <w:tcPr>
            <w:tcW w:w="4450" w:type="dxa"/>
            <w:vAlign w:val="center"/>
          </w:tcPr>
          <w:p w14:paraId="3E2BABCB">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（1）未及时追肥，造成生长势衰弱，乔木每株扣2分，花灌木每株扣1分。</w:t>
            </w:r>
          </w:p>
        </w:tc>
        <w:tc>
          <w:tcPr>
            <w:tcW w:w="593" w:type="dxa"/>
            <w:vAlign w:val="center"/>
          </w:tcPr>
          <w:p w14:paraId="0FEE279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1B19F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055" w:type="dxa"/>
            <w:vMerge w:val="continue"/>
            <w:vAlign w:val="center"/>
          </w:tcPr>
          <w:p w14:paraId="14D0E16F">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231038C3">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2ED9E97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（2）发现施肥不及时或有灼伤现象，每次扣3分。</w:t>
            </w:r>
          </w:p>
        </w:tc>
        <w:tc>
          <w:tcPr>
            <w:tcW w:w="593" w:type="dxa"/>
            <w:vAlign w:val="center"/>
          </w:tcPr>
          <w:p w14:paraId="660F8B5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0972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1055" w:type="dxa"/>
            <w:vMerge w:val="restart"/>
            <w:vAlign w:val="center"/>
          </w:tcPr>
          <w:p w14:paraId="5C5C95B9">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病虫害防治 </w:t>
            </w:r>
          </w:p>
          <w:p w14:paraId="3281489B">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（10分）</w:t>
            </w:r>
          </w:p>
        </w:tc>
        <w:tc>
          <w:tcPr>
            <w:tcW w:w="3783" w:type="dxa"/>
            <w:vMerge w:val="restart"/>
            <w:vAlign w:val="center"/>
          </w:tcPr>
          <w:p w14:paraId="139DDDBD">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p w14:paraId="6694CFA5">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1、及时防治和控制病虫害的发生，无群众举报、媒体曝光事件发生；                         </w:t>
            </w:r>
          </w:p>
          <w:p w14:paraId="5B08728F">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s="宋体"/>
                <w:color w:val="auto"/>
                <w:szCs w:val="21"/>
                <w:highlight w:val="none"/>
              </w:rPr>
              <w:t>2、用药配比正确，操作安全，喷药均匀，不发生药害事故。</w:t>
            </w:r>
          </w:p>
        </w:tc>
        <w:tc>
          <w:tcPr>
            <w:tcW w:w="4450" w:type="dxa"/>
            <w:vAlign w:val="center"/>
          </w:tcPr>
          <w:p w14:paraId="7E299352">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（1）乔木、花灌木有明显虫口、虫粪、成（幼）虫现象，发现一株扣0.5分。</w:t>
            </w:r>
          </w:p>
        </w:tc>
        <w:tc>
          <w:tcPr>
            <w:tcW w:w="593" w:type="dxa"/>
            <w:vAlign w:val="center"/>
          </w:tcPr>
          <w:p w14:paraId="3A7ACA18">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120C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055" w:type="dxa"/>
            <w:vMerge w:val="continue"/>
            <w:vAlign w:val="center"/>
          </w:tcPr>
          <w:p w14:paraId="4455A330">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624E1D26">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686BC19E">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（2）草坪未及时进行病虫害防治，发现一次扣3分。</w:t>
            </w:r>
          </w:p>
        </w:tc>
        <w:tc>
          <w:tcPr>
            <w:tcW w:w="593" w:type="dxa"/>
            <w:vAlign w:val="center"/>
          </w:tcPr>
          <w:p w14:paraId="3892883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54FB9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1055" w:type="dxa"/>
            <w:vMerge w:val="continue"/>
            <w:vAlign w:val="center"/>
          </w:tcPr>
          <w:p w14:paraId="35EAAB1F">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19A33CB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76679FD5">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olor w:val="auto"/>
                <w:szCs w:val="21"/>
                <w:highlight w:val="none"/>
              </w:rPr>
              <w:t>（3）药液配比不正确，造成树木伤害，每株扣0.5分。</w:t>
            </w:r>
          </w:p>
        </w:tc>
        <w:tc>
          <w:tcPr>
            <w:tcW w:w="593" w:type="dxa"/>
            <w:vAlign w:val="center"/>
          </w:tcPr>
          <w:p w14:paraId="370A90C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7C1E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1055" w:type="dxa"/>
            <w:vMerge w:val="restart"/>
            <w:vAlign w:val="center"/>
          </w:tcPr>
          <w:p w14:paraId="082E6787">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除草及树池维护</w:t>
            </w:r>
          </w:p>
          <w:p w14:paraId="28A88882">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（8分）</w:t>
            </w:r>
          </w:p>
        </w:tc>
        <w:tc>
          <w:tcPr>
            <w:tcW w:w="3783" w:type="dxa"/>
            <w:vMerge w:val="restart"/>
            <w:vAlign w:val="center"/>
          </w:tcPr>
          <w:p w14:paraId="7A33863D">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1、树穴内无杂草；</w:t>
            </w:r>
          </w:p>
          <w:p w14:paraId="307E6B21">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2、及时清理绿地内杂草；</w:t>
            </w:r>
          </w:p>
          <w:p w14:paraId="0CCE490D">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3、攀缘植物的残花枯藤需及时清理干净；</w:t>
            </w:r>
          </w:p>
          <w:p w14:paraId="2C895E8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olor w:val="auto"/>
                <w:szCs w:val="21"/>
                <w:highlight w:val="none"/>
              </w:rPr>
              <w:t>4、加强树池维护，确保树池完好。</w:t>
            </w:r>
          </w:p>
        </w:tc>
        <w:tc>
          <w:tcPr>
            <w:tcW w:w="4450" w:type="dxa"/>
            <w:vAlign w:val="center"/>
          </w:tcPr>
          <w:p w14:paraId="5C249A2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olor w:val="auto"/>
                <w:szCs w:val="21"/>
                <w:highlight w:val="none"/>
              </w:rPr>
              <w:t>（1）树穴杂草率高于5%，一株扣0.25分。</w:t>
            </w:r>
          </w:p>
        </w:tc>
        <w:tc>
          <w:tcPr>
            <w:tcW w:w="593" w:type="dxa"/>
            <w:vAlign w:val="center"/>
          </w:tcPr>
          <w:p w14:paraId="3569D60B">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276EB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055" w:type="dxa"/>
            <w:vMerge w:val="continue"/>
            <w:vAlign w:val="center"/>
          </w:tcPr>
          <w:p w14:paraId="650C48EA">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59B79C2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07DC3CF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（2）未及时清理绿地杂草，每发现一处扣1分。</w:t>
            </w:r>
          </w:p>
        </w:tc>
        <w:tc>
          <w:tcPr>
            <w:tcW w:w="593" w:type="dxa"/>
            <w:vAlign w:val="center"/>
          </w:tcPr>
          <w:p w14:paraId="7795BC7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7A58D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055" w:type="dxa"/>
            <w:vMerge w:val="continue"/>
            <w:vAlign w:val="center"/>
          </w:tcPr>
          <w:p w14:paraId="03351809">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4F227FEB">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19339C17">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（3）残花枯藤未及时清理干净，每发现一处扣1分。</w:t>
            </w:r>
          </w:p>
        </w:tc>
        <w:tc>
          <w:tcPr>
            <w:tcW w:w="593" w:type="dxa"/>
            <w:vAlign w:val="center"/>
          </w:tcPr>
          <w:p w14:paraId="799CBAE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0A12C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055" w:type="dxa"/>
            <w:vMerge w:val="continue"/>
            <w:vAlign w:val="center"/>
          </w:tcPr>
          <w:p w14:paraId="6147FEEC">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2DCBEE38">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7ED54FD4">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（4）树池损坏每个扣1分。</w:t>
            </w:r>
          </w:p>
        </w:tc>
        <w:tc>
          <w:tcPr>
            <w:tcW w:w="593" w:type="dxa"/>
            <w:vAlign w:val="center"/>
          </w:tcPr>
          <w:p w14:paraId="2D85155B">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185B3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55" w:type="dxa"/>
            <w:vMerge w:val="restart"/>
            <w:vAlign w:val="center"/>
          </w:tcPr>
          <w:p w14:paraId="6E2B59FE">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安全</w:t>
            </w:r>
          </w:p>
          <w:p w14:paraId="596B1DDB">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管理</w:t>
            </w:r>
          </w:p>
          <w:p w14:paraId="4FB6854F">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s="宋体"/>
                <w:bCs/>
                <w:color w:val="auto"/>
                <w:szCs w:val="21"/>
                <w:highlight w:val="none"/>
              </w:rPr>
              <w:t>（10分）</w:t>
            </w:r>
          </w:p>
        </w:tc>
        <w:tc>
          <w:tcPr>
            <w:tcW w:w="3783" w:type="dxa"/>
            <w:vMerge w:val="restart"/>
            <w:vAlign w:val="center"/>
          </w:tcPr>
          <w:p w14:paraId="06E9143D">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1、及时处理突发事件及应急事件，</w:t>
            </w:r>
            <w:r>
              <w:rPr>
                <w:rFonts w:hint="eastAsia" w:ascii="宋体" w:hAnsi="宋体" w:cs="宋体"/>
                <w:color w:val="auto"/>
                <w:szCs w:val="21"/>
                <w:highlight w:val="none"/>
              </w:rPr>
              <w:t>灾害性天气及时检查并清理断枝和倒伏树木；</w:t>
            </w:r>
            <w:r>
              <w:rPr>
                <w:rFonts w:hint="eastAsia" w:ascii="宋体" w:hAnsi="宋体"/>
                <w:color w:val="auto"/>
                <w:szCs w:val="21"/>
                <w:highlight w:val="none"/>
              </w:rPr>
              <w:t xml:space="preserve">                 </w:t>
            </w:r>
          </w:p>
          <w:p w14:paraId="313C6495">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2、在规定时限内完成交办的工作及指令性任务，配合做好各类迎查活动工作；</w:t>
            </w:r>
          </w:p>
          <w:p w14:paraId="69C00205">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 xml:space="preserve">树木支撑完好，及时扶正歪斜树木，无倒伏或明显倾斜现象。                     </w:t>
            </w:r>
          </w:p>
        </w:tc>
        <w:tc>
          <w:tcPr>
            <w:tcW w:w="4450" w:type="dxa"/>
            <w:vAlign w:val="center"/>
          </w:tcPr>
          <w:p w14:paraId="46147391">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（1）未能及时处理应急事件或突发事件，</w:t>
            </w:r>
            <w:r>
              <w:rPr>
                <w:rFonts w:hint="eastAsia" w:ascii="宋体" w:hAnsi="宋体" w:cs="宋体"/>
                <w:color w:val="auto"/>
                <w:szCs w:val="21"/>
                <w:highlight w:val="none"/>
              </w:rPr>
              <w:t>发现一次扣</w:t>
            </w:r>
            <w:r>
              <w:rPr>
                <w:rFonts w:hint="eastAsia" w:ascii="宋体" w:hAnsi="宋体"/>
                <w:color w:val="auto"/>
                <w:szCs w:val="21"/>
                <w:highlight w:val="none"/>
              </w:rPr>
              <w:t>5</w:t>
            </w:r>
            <w:r>
              <w:rPr>
                <w:rFonts w:hint="eastAsia" w:ascii="宋体" w:hAnsi="宋体" w:cs="宋体"/>
                <w:color w:val="auto"/>
                <w:szCs w:val="21"/>
                <w:highlight w:val="none"/>
              </w:rPr>
              <w:t>分。</w:t>
            </w:r>
          </w:p>
        </w:tc>
        <w:tc>
          <w:tcPr>
            <w:tcW w:w="593" w:type="dxa"/>
            <w:vAlign w:val="center"/>
          </w:tcPr>
          <w:p w14:paraId="6B47BA1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4553C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055" w:type="dxa"/>
            <w:vMerge w:val="continue"/>
            <w:vAlign w:val="center"/>
          </w:tcPr>
          <w:p w14:paraId="508F8CC0">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09213141">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086E144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未在规定时间内完成指定性任务，发现一次扣</w:t>
            </w:r>
            <w:r>
              <w:rPr>
                <w:rFonts w:hint="eastAsia" w:ascii="宋体" w:hAnsi="宋体"/>
                <w:color w:val="auto"/>
                <w:szCs w:val="21"/>
                <w:highlight w:val="none"/>
              </w:rPr>
              <w:t>2</w:t>
            </w:r>
            <w:r>
              <w:rPr>
                <w:rFonts w:hint="eastAsia" w:ascii="宋体" w:hAnsi="宋体" w:cs="宋体"/>
                <w:color w:val="auto"/>
                <w:szCs w:val="21"/>
                <w:highlight w:val="none"/>
              </w:rPr>
              <w:t>分。</w:t>
            </w:r>
          </w:p>
        </w:tc>
        <w:tc>
          <w:tcPr>
            <w:tcW w:w="593" w:type="dxa"/>
            <w:vAlign w:val="center"/>
          </w:tcPr>
          <w:p w14:paraId="6FDEB364">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6430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055" w:type="dxa"/>
            <w:vMerge w:val="continue"/>
            <w:vAlign w:val="center"/>
          </w:tcPr>
          <w:p w14:paraId="6AC6E21B">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458F767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58F2356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发现</w:t>
            </w:r>
            <w:r>
              <w:rPr>
                <w:rFonts w:hint="eastAsia" w:ascii="宋体" w:hAnsi="宋体"/>
                <w:color w:val="auto"/>
                <w:szCs w:val="21"/>
                <w:highlight w:val="none"/>
              </w:rPr>
              <w:t>树木支撑缺损，有</w:t>
            </w:r>
            <w:r>
              <w:rPr>
                <w:rFonts w:hint="eastAsia" w:ascii="宋体" w:hAnsi="宋体" w:cs="宋体"/>
                <w:color w:val="auto"/>
                <w:szCs w:val="21"/>
                <w:highlight w:val="none"/>
              </w:rPr>
              <w:t>断枝、树木倒伏每株扣</w:t>
            </w:r>
            <w:r>
              <w:rPr>
                <w:rFonts w:hint="eastAsia" w:ascii="宋体" w:hAnsi="宋体"/>
                <w:color w:val="auto"/>
                <w:szCs w:val="21"/>
                <w:highlight w:val="none"/>
              </w:rPr>
              <w:t>1</w:t>
            </w:r>
            <w:r>
              <w:rPr>
                <w:rFonts w:hint="eastAsia" w:ascii="宋体" w:hAnsi="宋体" w:cs="宋体"/>
                <w:color w:val="auto"/>
                <w:szCs w:val="21"/>
                <w:highlight w:val="none"/>
              </w:rPr>
              <w:t>分；</w:t>
            </w:r>
            <w:r>
              <w:rPr>
                <w:rFonts w:hint="eastAsia" w:ascii="宋体" w:hAnsi="宋体"/>
                <w:color w:val="auto"/>
                <w:szCs w:val="21"/>
                <w:highlight w:val="none"/>
              </w:rPr>
              <w:t>歪斜植株不及时扶正，每发现一株扣0.5分。</w:t>
            </w:r>
          </w:p>
        </w:tc>
        <w:tc>
          <w:tcPr>
            <w:tcW w:w="593" w:type="dxa"/>
            <w:vAlign w:val="center"/>
          </w:tcPr>
          <w:p w14:paraId="728AD03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7F8D2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055" w:type="dxa"/>
            <w:vMerge w:val="restart"/>
            <w:vAlign w:val="center"/>
          </w:tcPr>
          <w:p w14:paraId="4A9F7340">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保存率</w:t>
            </w:r>
            <w:r>
              <w:rPr>
                <w:rFonts w:hint="eastAsia" w:ascii="宋体" w:hAnsi="宋体" w:cs="宋体"/>
                <w:bCs/>
                <w:color w:val="auto"/>
                <w:szCs w:val="21"/>
                <w:highlight w:val="none"/>
              </w:rPr>
              <w:t>（12分）</w:t>
            </w:r>
          </w:p>
        </w:tc>
        <w:tc>
          <w:tcPr>
            <w:tcW w:w="3783" w:type="dxa"/>
            <w:vMerge w:val="restart"/>
            <w:vAlign w:val="center"/>
          </w:tcPr>
          <w:p w14:paraId="30F56E6E">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1、如出现死亡乔木、花灌木、草坪及时报批倒伐；         </w:t>
            </w:r>
          </w:p>
          <w:p w14:paraId="339A7DC2">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2、死亡乔木、花灌木、草坪及时补植。             </w:t>
            </w:r>
          </w:p>
        </w:tc>
        <w:tc>
          <w:tcPr>
            <w:tcW w:w="4450" w:type="dxa"/>
            <w:vAlign w:val="center"/>
          </w:tcPr>
          <w:p w14:paraId="493E9786">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（1）发现死亡的，每株（块）扣3分。</w:t>
            </w:r>
          </w:p>
        </w:tc>
        <w:tc>
          <w:tcPr>
            <w:tcW w:w="593" w:type="dxa"/>
            <w:vAlign w:val="center"/>
          </w:tcPr>
          <w:p w14:paraId="352C3EA8">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2BD9D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55" w:type="dxa"/>
            <w:vMerge w:val="continue"/>
            <w:vAlign w:val="center"/>
          </w:tcPr>
          <w:p w14:paraId="150C0349">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5C13C7E2">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649B40B9">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（2）未及时补植同品种、同规格苗木，每株（块）扣3分。</w:t>
            </w:r>
          </w:p>
        </w:tc>
        <w:tc>
          <w:tcPr>
            <w:tcW w:w="593" w:type="dxa"/>
            <w:vAlign w:val="center"/>
          </w:tcPr>
          <w:p w14:paraId="199CE17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3C92A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055" w:type="dxa"/>
            <w:vMerge w:val="restart"/>
            <w:vAlign w:val="center"/>
          </w:tcPr>
          <w:p w14:paraId="5AC6B829">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卫生</w:t>
            </w:r>
          </w:p>
          <w:p w14:paraId="3C9FADD4">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保洁</w:t>
            </w:r>
          </w:p>
          <w:p w14:paraId="49D24A82">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s="宋体"/>
                <w:bCs/>
                <w:color w:val="auto"/>
                <w:szCs w:val="21"/>
                <w:highlight w:val="none"/>
              </w:rPr>
              <w:t>（4分）</w:t>
            </w:r>
          </w:p>
        </w:tc>
        <w:tc>
          <w:tcPr>
            <w:tcW w:w="3783" w:type="dxa"/>
            <w:vAlign w:val="center"/>
          </w:tcPr>
          <w:p w14:paraId="7DD72135">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1、绿地保洁   </w:t>
            </w:r>
          </w:p>
          <w:p w14:paraId="7B50329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（1）绿地及广场整洁，无杂物、无白色污染（树挂）。</w:t>
            </w:r>
          </w:p>
          <w:p w14:paraId="7CF14037">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（2）绿地内水面杂物及时清理，做到巡视保洁。</w:t>
            </w:r>
          </w:p>
        </w:tc>
        <w:tc>
          <w:tcPr>
            <w:tcW w:w="4450" w:type="dxa"/>
            <w:vAlign w:val="center"/>
          </w:tcPr>
          <w:p w14:paraId="3935A45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（1）发现绿地及广场有生活垃圾等杂物，每处扣0.5分。</w:t>
            </w:r>
          </w:p>
          <w:p w14:paraId="230604D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（2）发现绿地内水面有杂物，每处扣0.5分。</w:t>
            </w:r>
          </w:p>
        </w:tc>
        <w:tc>
          <w:tcPr>
            <w:tcW w:w="593" w:type="dxa"/>
            <w:vAlign w:val="center"/>
          </w:tcPr>
          <w:p w14:paraId="6EA704E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42B8B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055" w:type="dxa"/>
            <w:vMerge w:val="continue"/>
            <w:vAlign w:val="center"/>
          </w:tcPr>
          <w:p w14:paraId="39B6B229">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Align w:val="center"/>
          </w:tcPr>
          <w:p w14:paraId="77081D77">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2、植物垃圾处理</w:t>
            </w:r>
          </w:p>
          <w:p w14:paraId="0EF629E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（1）废弃物（如树枝、树叶、草屑等），重点地区随产随清，其它地区日产日清；</w:t>
            </w:r>
          </w:p>
          <w:p w14:paraId="050B8C03">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（2）叶面无蒙尘及粘滞物。</w:t>
            </w:r>
          </w:p>
        </w:tc>
        <w:tc>
          <w:tcPr>
            <w:tcW w:w="4450" w:type="dxa"/>
            <w:vAlign w:val="center"/>
          </w:tcPr>
          <w:p w14:paraId="7CB8988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（1）检查植物垃圾处理情况，对垃圾收集和处理不及时的，发现一处扣0.5分。</w:t>
            </w:r>
          </w:p>
          <w:p w14:paraId="0A9CCFE2">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（2）叶面蒙尘或粘滞物不及时清除，每发现一处，扣0.5分。</w:t>
            </w:r>
          </w:p>
        </w:tc>
        <w:tc>
          <w:tcPr>
            <w:tcW w:w="593" w:type="dxa"/>
            <w:vAlign w:val="center"/>
          </w:tcPr>
          <w:p w14:paraId="45DB27D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7662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055" w:type="dxa"/>
            <w:vMerge w:val="continue"/>
            <w:vAlign w:val="center"/>
          </w:tcPr>
          <w:p w14:paraId="6D359A02">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Align w:val="center"/>
          </w:tcPr>
          <w:p w14:paraId="1EF74EA3">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3、做好日常保洁，做到定员定岗、着装上岗 </w:t>
            </w:r>
          </w:p>
        </w:tc>
        <w:tc>
          <w:tcPr>
            <w:tcW w:w="4450" w:type="dxa"/>
            <w:vAlign w:val="center"/>
          </w:tcPr>
          <w:p w14:paraId="7E7AC178">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安排养护工人进行日常保洁，着装上岗。如发现缺勤、不在岗的，每次扣</w:t>
            </w:r>
            <w:r>
              <w:rPr>
                <w:rFonts w:hint="eastAsia" w:ascii="宋体" w:hAnsi="宋体"/>
                <w:color w:val="auto"/>
                <w:szCs w:val="21"/>
                <w:highlight w:val="none"/>
              </w:rPr>
              <w:t>1</w:t>
            </w:r>
            <w:r>
              <w:rPr>
                <w:rFonts w:hint="eastAsia" w:ascii="宋体" w:hAnsi="宋体" w:cs="宋体"/>
                <w:color w:val="auto"/>
                <w:szCs w:val="21"/>
                <w:highlight w:val="none"/>
              </w:rPr>
              <w:t>分。</w:t>
            </w:r>
          </w:p>
        </w:tc>
        <w:tc>
          <w:tcPr>
            <w:tcW w:w="593" w:type="dxa"/>
            <w:vAlign w:val="center"/>
          </w:tcPr>
          <w:p w14:paraId="0AC5F60D">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1B41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55" w:type="dxa"/>
            <w:vMerge w:val="restart"/>
            <w:vAlign w:val="center"/>
          </w:tcPr>
          <w:p w14:paraId="6A4498D0">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绿地保护及设施维护</w:t>
            </w:r>
          </w:p>
          <w:p w14:paraId="48B5180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s="宋体"/>
                <w:bCs/>
                <w:color w:val="auto"/>
                <w:szCs w:val="21"/>
                <w:highlight w:val="none"/>
              </w:rPr>
              <w:t>（4分）</w:t>
            </w:r>
          </w:p>
        </w:tc>
        <w:tc>
          <w:tcPr>
            <w:tcW w:w="3783" w:type="dxa"/>
            <w:vMerge w:val="restart"/>
            <w:vAlign w:val="center"/>
          </w:tcPr>
          <w:p w14:paraId="1BE4C774">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1、绿地中无堆物、堆料、搭棚，建筑墙面和树干上无钉拴刻画等现象；</w:t>
            </w:r>
          </w:p>
          <w:p w14:paraId="411C413F">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2、路面、设施维护良好；</w:t>
            </w:r>
          </w:p>
          <w:p w14:paraId="0480CD57">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3、绿地无重大破坏和偷盗案件。</w:t>
            </w:r>
          </w:p>
        </w:tc>
        <w:tc>
          <w:tcPr>
            <w:tcW w:w="4450" w:type="dxa"/>
            <w:vAlign w:val="center"/>
          </w:tcPr>
          <w:p w14:paraId="7C1E9580">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（1）检查中发现违规现象，每处每次扣1分。</w:t>
            </w:r>
          </w:p>
        </w:tc>
        <w:tc>
          <w:tcPr>
            <w:tcW w:w="593" w:type="dxa"/>
            <w:vAlign w:val="center"/>
          </w:tcPr>
          <w:p w14:paraId="75459E05">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79F3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55" w:type="dxa"/>
            <w:vMerge w:val="continue"/>
            <w:vAlign w:val="center"/>
          </w:tcPr>
          <w:p w14:paraId="25113366">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34EA72E5">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69DD3B47">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（2）路面、设施有破损，发现一处扣2分。</w:t>
            </w:r>
          </w:p>
        </w:tc>
        <w:tc>
          <w:tcPr>
            <w:tcW w:w="593" w:type="dxa"/>
            <w:vAlign w:val="center"/>
          </w:tcPr>
          <w:p w14:paraId="239194B4">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302D9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55" w:type="dxa"/>
            <w:vMerge w:val="continue"/>
            <w:vAlign w:val="center"/>
          </w:tcPr>
          <w:p w14:paraId="4B13813F">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0DC003BF">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218EC6AE">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（3）若发生重大破坏或偷盗案件，每次扣2分，并按价赔偿。</w:t>
            </w:r>
          </w:p>
        </w:tc>
        <w:tc>
          <w:tcPr>
            <w:tcW w:w="593" w:type="dxa"/>
            <w:vAlign w:val="center"/>
          </w:tcPr>
          <w:p w14:paraId="52A62BB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3B65B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055" w:type="dxa"/>
            <w:vMerge w:val="restart"/>
            <w:vAlign w:val="center"/>
          </w:tcPr>
          <w:p w14:paraId="1E5552FE">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浇水、排涝及防冻处理</w:t>
            </w:r>
          </w:p>
          <w:p w14:paraId="3B27163F">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（8分）</w:t>
            </w:r>
          </w:p>
        </w:tc>
        <w:tc>
          <w:tcPr>
            <w:tcW w:w="3783" w:type="dxa"/>
            <w:vMerge w:val="restart"/>
            <w:vAlign w:val="center"/>
          </w:tcPr>
          <w:p w14:paraId="509422CB">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1、根据天气，酌量浇水，另外夏季需及时抗旱、排涝，不能发生严重缺水或积水现象；</w:t>
            </w:r>
          </w:p>
          <w:p w14:paraId="0B4F912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olor w:val="auto"/>
                <w:szCs w:val="21"/>
                <w:highlight w:val="none"/>
              </w:rPr>
              <w:t xml:space="preserve"> 2、及时抗旱，冬季易冻害的树木及时做防冻处理。      </w:t>
            </w:r>
          </w:p>
        </w:tc>
        <w:tc>
          <w:tcPr>
            <w:tcW w:w="4450" w:type="dxa"/>
            <w:vAlign w:val="center"/>
          </w:tcPr>
          <w:p w14:paraId="41F1DD9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（1）植株严重缺水或积水，叶片枯萎，发现一株扣1分。</w:t>
            </w:r>
          </w:p>
        </w:tc>
        <w:tc>
          <w:tcPr>
            <w:tcW w:w="593" w:type="dxa"/>
            <w:vAlign w:val="center"/>
          </w:tcPr>
          <w:p w14:paraId="27737840">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r>
      <w:tr w14:paraId="1DD82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55" w:type="dxa"/>
            <w:vMerge w:val="continue"/>
            <w:vAlign w:val="center"/>
          </w:tcPr>
          <w:p w14:paraId="749DA33F">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7669530F">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c>
          <w:tcPr>
            <w:tcW w:w="4450" w:type="dxa"/>
            <w:vAlign w:val="center"/>
          </w:tcPr>
          <w:p w14:paraId="146771AC">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植物成片缺水或积水，发现一处扣3分。</w:t>
            </w:r>
          </w:p>
        </w:tc>
        <w:tc>
          <w:tcPr>
            <w:tcW w:w="593" w:type="dxa"/>
            <w:vAlign w:val="center"/>
          </w:tcPr>
          <w:p w14:paraId="7592BE48">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p>
        </w:tc>
      </w:tr>
      <w:tr w14:paraId="04E1D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055" w:type="dxa"/>
            <w:vMerge w:val="continue"/>
            <w:vAlign w:val="center"/>
          </w:tcPr>
          <w:p w14:paraId="17FBD071">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p>
        </w:tc>
        <w:tc>
          <w:tcPr>
            <w:tcW w:w="3783" w:type="dxa"/>
            <w:vMerge w:val="continue"/>
            <w:vAlign w:val="center"/>
          </w:tcPr>
          <w:p w14:paraId="7A4A600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5D51FE13">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olor w:val="auto"/>
                <w:szCs w:val="21"/>
                <w:highlight w:val="none"/>
              </w:rPr>
              <w:t>（3）防冻处理不正确，</w:t>
            </w:r>
            <w:r>
              <w:rPr>
                <w:rFonts w:hint="eastAsia" w:ascii="宋体" w:hAnsi="宋体" w:cs="宋体"/>
                <w:color w:val="auto"/>
                <w:szCs w:val="21"/>
                <w:highlight w:val="none"/>
              </w:rPr>
              <w:t>发现一处</w:t>
            </w:r>
            <w:r>
              <w:rPr>
                <w:rFonts w:hint="eastAsia" w:ascii="宋体" w:hAnsi="宋体"/>
                <w:color w:val="auto"/>
                <w:szCs w:val="21"/>
                <w:highlight w:val="none"/>
              </w:rPr>
              <w:t>扣3分。</w:t>
            </w:r>
          </w:p>
        </w:tc>
        <w:tc>
          <w:tcPr>
            <w:tcW w:w="593" w:type="dxa"/>
            <w:vAlign w:val="center"/>
          </w:tcPr>
          <w:p w14:paraId="7717DF4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112E8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55" w:type="dxa"/>
            <w:vMerge w:val="restart"/>
            <w:vAlign w:val="center"/>
          </w:tcPr>
          <w:p w14:paraId="0B990B6B">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资料</w:t>
            </w:r>
          </w:p>
          <w:p w14:paraId="2C686D2A">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档案</w:t>
            </w:r>
          </w:p>
          <w:p w14:paraId="2DEA1DE6">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（2分）</w:t>
            </w:r>
          </w:p>
        </w:tc>
        <w:tc>
          <w:tcPr>
            <w:tcW w:w="3783" w:type="dxa"/>
            <w:vMerge w:val="restart"/>
            <w:vAlign w:val="center"/>
          </w:tcPr>
          <w:p w14:paraId="70C2ED77">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1、绿化资料分类清楚，基础数据、图纸齐备；</w:t>
            </w:r>
          </w:p>
          <w:p w14:paraId="50D36DB4">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 xml:space="preserve">2、绿化统计报表应在规定时间内及时正确报送。       </w:t>
            </w:r>
          </w:p>
        </w:tc>
        <w:tc>
          <w:tcPr>
            <w:tcW w:w="4450" w:type="dxa"/>
            <w:vAlign w:val="center"/>
          </w:tcPr>
          <w:p w14:paraId="42B9C6D8">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（1）未按规定要求建立台帐的，每次扣1分。</w:t>
            </w:r>
          </w:p>
        </w:tc>
        <w:tc>
          <w:tcPr>
            <w:tcW w:w="593" w:type="dxa"/>
            <w:vAlign w:val="center"/>
          </w:tcPr>
          <w:p w14:paraId="787DA9A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6415C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1055" w:type="dxa"/>
            <w:vMerge w:val="continue"/>
            <w:vAlign w:val="center"/>
          </w:tcPr>
          <w:p w14:paraId="7C238E59">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p>
        </w:tc>
        <w:tc>
          <w:tcPr>
            <w:tcW w:w="3783" w:type="dxa"/>
            <w:vMerge w:val="continue"/>
            <w:vAlign w:val="center"/>
          </w:tcPr>
          <w:p w14:paraId="07FFD4C1">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2AE914B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olor w:val="auto"/>
                <w:szCs w:val="21"/>
                <w:highlight w:val="none"/>
              </w:rPr>
              <w:t>（2）月度工作总结及养护计划未及时报送，每次扣1分。</w:t>
            </w:r>
          </w:p>
        </w:tc>
        <w:tc>
          <w:tcPr>
            <w:tcW w:w="593" w:type="dxa"/>
            <w:vAlign w:val="center"/>
          </w:tcPr>
          <w:p w14:paraId="48AD77F2">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w:t>
            </w:r>
          </w:p>
        </w:tc>
      </w:tr>
      <w:tr w14:paraId="5757B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jc w:val="center"/>
        </w:trPr>
        <w:tc>
          <w:tcPr>
            <w:tcW w:w="1055" w:type="dxa"/>
            <w:vMerge w:val="restart"/>
            <w:vAlign w:val="center"/>
          </w:tcPr>
          <w:p w14:paraId="29C90FFA">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绿化</w:t>
            </w:r>
          </w:p>
          <w:p w14:paraId="1984079D">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督查</w:t>
            </w:r>
          </w:p>
          <w:p w14:paraId="04FEA30E">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Cs/>
                <w:color w:val="auto"/>
                <w:szCs w:val="21"/>
                <w:highlight w:val="none"/>
              </w:rPr>
              <w:t>（10分）</w:t>
            </w:r>
          </w:p>
        </w:tc>
        <w:tc>
          <w:tcPr>
            <w:tcW w:w="3783" w:type="dxa"/>
            <w:vMerge w:val="restart"/>
            <w:vAlign w:val="center"/>
          </w:tcPr>
          <w:p w14:paraId="738EB85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1、每周不定期的到养护路段进行巡查；发现问题及时通报；</w:t>
            </w:r>
          </w:p>
          <w:p w14:paraId="4FDA603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2、每月定期对养护路段考核。</w:t>
            </w:r>
          </w:p>
        </w:tc>
        <w:tc>
          <w:tcPr>
            <w:tcW w:w="4450" w:type="dxa"/>
            <w:vAlign w:val="center"/>
          </w:tcPr>
          <w:p w14:paraId="08078ABF">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（1）绿化督查每次发现一个问题扣0.5分。规定期限整改到位不再追加扣分。</w:t>
            </w:r>
          </w:p>
        </w:tc>
        <w:tc>
          <w:tcPr>
            <w:tcW w:w="593" w:type="dxa"/>
            <w:vAlign w:val="center"/>
          </w:tcPr>
          <w:p w14:paraId="6D20E16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6F57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jc w:val="center"/>
        </w:trPr>
        <w:tc>
          <w:tcPr>
            <w:tcW w:w="1055" w:type="dxa"/>
            <w:vMerge w:val="continue"/>
            <w:vAlign w:val="center"/>
          </w:tcPr>
          <w:p w14:paraId="1EE97B6C">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36FFBE2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5F642A58">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（2）绿化督查每次发现问题未能在整改期限内整改到位的，每次扣1.5分。</w:t>
            </w:r>
          </w:p>
        </w:tc>
        <w:tc>
          <w:tcPr>
            <w:tcW w:w="593" w:type="dxa"/>
            <w:vAlign w:val="center"/>
          </w:tcPr>
          <w:p w14:paraId="3AB2C1C3">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75223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055" w:type="dxa"/>
            <w:vMerge w:val="restart"/>
            <w:vAlign w:val="center"/>
          </w:tcPr>
          <w:p w14:paraId="21C63E95">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养护</w:t>
            </w:r>
          </w:p>
          <w:p w14:paraId="7537DA26">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人员</w:t>
            </w:r>
          </w:p>
          <w:p w14:paraId="165E6733">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Cs/>
                <w:color w:val="auto"/>
                <w:szCs w:val="21"/>
                <w:highlight w:val="none"/>
              </w:rPr>
              <w:t>（10分）</w:t>
            </w:r>
          </w:p>
        </w:tc>
        <w:tc>
          <w:tcPr>
            <w:tcW w:w="3783" w:type="dxa"/>
            <w:vMerge w:val="restart"/>
            <w:vAlign w:val="center"/>
          </w:tcPr>
          <w:p w14:paraId="3A89E87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1、项目负责人在养护作业过程中需驻场负责；</w:t>
            </w:r>
          </w:p>
          <w:p w14:paraId="3D094CC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2、养护人员按规定配备齐整，养护作业达到规定要求。</w:t>
            </w:r>
          </w:p>
        </w:tc>
        <w:tc>
          <w:tcPr>
            <w:tcW w:w="4450" w:type="dxa"/>
            <w:vAlign w:val="center"/>
          </w:tcPr>
          <w:p w14:paraId="58C93CD8">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（1）在定期考核中项目负责人未能到驻场负责，扣3分。</w:t>
            </w:r>
          </w:p>
        </w:tc>
        <w:tc>
          <w:tcPr>
            <w:tcW w:w="593" w:type="dxa"/>
            <w:vAlign w:val="center"/>
          </w:tcPr>
          <w:p w14:paraId="19B3771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7353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055" w:type="dxa"/>
            <w:vMerge w:val="continue"/>
            <w:vAlign w:val="center"/>
          </w:tcPr>
          <w:p w14:paraId="0679D045">
            <w:pPr>
              <w:keepNext w:val="0"/>
              <w:keepLines w:val="0"/>
              <w:suppressLineNumbers w:val="0"/>
              <w:spacing w:before="0" w:beforeAutospacing="0" w:after="0" w:afterAutospacing="0" w:line="400" w:lineRule="exact"/>
              <w:ind w:left="0" w:right="0"/>
              <w:jc w:val="center"/>
              <w:rPr>
                <w:rFonts w:hint="eastAsia" w:ascii="宋体" w:hAnsi="宋体" w:cs="宋体"/>
                <w:bCs/>
                <w:color w:val="auto"/>
                <w:szCs w:val="21"/>
                <w:highlight w:val="none"/>
              </w:rPr>
            </w:pPr>
          </w:p>
        </w:tc>
        <w:tc>
          <w:tcPr>
            <w:tcW w:w="3783" w:type="dxa"/>
            <w:vMerge w:val="continue"/>
            <w:vAlign w:val="center"/>
          </w:tcPr>
          <w:p w14:paraId="5987A0AD">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7E2984C1">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（2）在不定期巡查中项目负责人未能到驻场负责，扣1分。</w:t>
            </w:r>
          </w:p>
        </w:tc>
        <w:tc>
          <w:tcPr>
            <w:tcW w:w="593" w:type="dxa"/>
            <w:vAlign w:val="center"/>
          </w:tcPr>
          <w:p w14:paraId="3ED38F6D">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292CF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055" w:type="dxa"/>
            <w:vMerge w:val="continue"/>
            <w:vAlign w:val="center"/>
          </w:tcPr>
          <w:p w14:paraId="5F2B7353">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776C664D">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75A244D6">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（1）在定期考核中养护人员未按规定配备，每少一人扣1分。</w:t>
            </w:r>
          </w:p>
        </w:tc>
        <w:tc>
          <w:tcPr>
            <w:tcW w:w="593" w:type="dxa"/>
            <w:vAlign w:val="center"/>
          </w:tcPr>
          <w:p w14:paraId="3B960563">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332F3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5" w:type="dxa"/>
            <w:vMerge w:val="continue"/>
            <w:vAlign w:val="center"/>
          </w:tcPr>
          <w:p w14:paraId="7CF5E60B">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tc>
        <w:tc>
          <w:tcPr>
            <w:tcW w:w="3783" w:type="dxa"/>
            <w:vMerge w:val="continue"/>
            <w:vAlign w:val="center"/>
          </w:tcPr>
          <w:p w14:paraId="63647092">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4450" w:type="dxa"/>
            <w:vAlign w:val="center"/>
          </w:tcPr>
          <w:p w14:paraId="6D98586B">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（2）在不定期巡查中养护人员未按规定配备，每少一人扣0.5分。</w:t>
            </w:r>
          </w:p>
        </w:tc>
        <w:tc>
          <w:tcPr>
            <w:tcW w:w="593" w:type="dxa"/>
            <w:vAlign w:val="center"/>
          </w:tcPr>
          <w:p w14:paraId="1CFCEFFB">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bl>
    <w:p w14:paraId="51347D56">
      <w:pPr>
        <w:spacing w:line="360" w:lineRule="auto"/>
        <w:ind w:firstLine="422" w:firstLineChars="200"/>
        <w:rPr>
          <w:rFonts w:hint="eastAsia" w:ascii="宋体" w:hAnsi="宋体" w:eastAsia="宋体" w:cs="宋体"/>
          <w:b/>
          <w:color w:val="auto"/>
          <w:sz w:val="21"/>
          <w:szCs w:val="21"/>
          <w:highlight w:val="none"/>
        </w:rPr>
      </w:pPr>
    </w:p>
    <w:p w14:paraId="5084AED4">
      <w:pPr>
        <w:spacing w:line="360" w:lineRule="auto"/>
        <w:ind w:left="-359" w:leftChars="-17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注：1、每单项扣分不超过本单项总分值。</w:t>
      </w:r>
    </w:p>
    <w:p w14:paraId="3EA60495">
      <w:pPr>
        <w:spacing w:line="360" w:lineRule="auto"/>
        <w:ind w:left="-359" w:leftChars="-171"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2、每次考核通报的问题未在次月考核前整改的或在之后的考核中发现同样问题的，加倍扣除按考核细则应扣分值，累计每单项扣分不受本单项总分值限制。</w:t>
      </w:r>
    </w:p>
    <w:p w14:paraId="435C34DA">
      <w:pPr>
        <w:rPr>
          <w:rFonts w:hint="eastAsia" w:ascii="宋体" w:hAnsi="宋体" w:eastAsia="宋体" w:cs="宋体"/>
          <w:color w:val="auto"/>
          <w:sz w:val="21"/>
          <w:szCs w:val="21"/>
          <w:highlight w:val="none"/>
        </w:rPr>
      </w:pPr>
    </w:p>
    <w:p w14:paraId="3E8EA368">
      <w:pPr>
        <w:pStyle w:val="12"/>
        <w:spacing w:line="360" w:lineRule="auto"/>
        <w:ind w:firstLine="0"/>
        <w:rPr>
          <w:rFonts w:hint="eastAsia" w:ascii="宋体" w:hAnsi="宋体" w:eastAsia="宋体" w:cs="宋体"/>
          <w:bCs/>
          <w:color w:val="auto"/>
          <w:sz w:val="21"/>
          <w:szCs w:val="21"/>
          <w:highlight w:val="none"/>
        </w:rPr>
      </w:pPr>
    </w:p>
    <w:p w14:paraId="34678F5E">
      <w:pPr>
        <w:pStyle w:val="11"/>
        <w:spacing w:before="0" w:after="0" w:line="360" w:lineRule="auto"/>
        <w:jc w:val="center"/>
        <w:rPr>
          <w:rFonts w:hint="eastAsia" w:ascii="宋体" w:hAnsi="宋体" w:eastAsia="宋体" w:cs="Arial"/>
          <w:bCs/>
          <w:color w:val="auto"/>
          <w:sz w:val="36"/>
          <w:szCs w:val="36"/>
          <w:highlight w:val="none"/>
        </w:rPr>
      </w:pPr>
    </w:p>
    <w:p w14:paraId="1E92B3C5">
      <w:pPr>
        <w:pStyle w:val="11"/>
        <w:spacing w:before="0" w:after="0" w:line="360" w:lineRule="auto"/>
        <w:jc w:val="center"/>
        <w:rPr>
          <w:rFonts w:hint="eastAsia" w:ascii="宋体" w:hAnsi="宋体" w:eastAsia="宋体" w:cs="Arial"/>
          <w:bCs/>
          <w:color w:val="auto"/>
          <w:sz w:val="36"/>
          <w:szCs w:val="36"/>
          <w:highlight w:val="none"/>
        </w:rPr>
      </w:pPr>
    </w:p>
    <w:p w14:paraId="48BDFD02">
      <w:pPr>
        <w:pStyle w:val="11"/>
        <w:spacing w:before="0" w:after="0" w:line="360" w:lineRule="auto"/>
        <w:jc w:val="center"/>
        <w:rPr>
          <w:rFonts w:hint="eastAsia" w:ascii="宋体" w:hAnsi="宋体" w:eastAsia="宋体" w:cs="Arial"/>
          <w:bCs/>
          <w:color w:val="auto"/>
          <w:sz w:val="36"/>
          <w:szCs w:val="36"/>
          <w:highlight w:val="none"/>
        </w:rPr>
      </w:pPr>
    </w:p>
    <w:p w14:paraId="18450429">
      <w:pPr>
        <w:pStyle w:val="12"/>
        <w:rPr>
          <w:rFonts w:hint="eastAsia" w:ascii="宋体" w:hAnsi="宋体" w:eastAsia="宋体" w:cs="Arial"/>
          <w:bCs/>
          <w:color w:val="auto"/>
          <w:sz w:val="36"/>
          <w:szCs w:val="36"/>
          <w:highlight w:val="none"/>
        </w:rPr>
      </w:pPr>
    </w:p>
    <w:p w14:paraId="782B8F45">
      <w:pPr>
        <w:pStyle w:val="11"/>
        <w:spacing w:before="0" w:after="0" w:line="360" w:lineRule="auto"/>
        <w:jc w:val="both"/>
        <w:rPr>
          <w:rFonts w:hint="eastAsia" w:ascii="宋体" w:hAnsi="宋体" w:eastAsia="宋体" w:cs="Arial"/>
          <w:bCs/>
          <w:color w:val="auto"/>
          <w:sz w:val="36"/>
          <w:szCs w:val="36"/>
          <w:highlight w:val="none"/>
        </w:rPr>
      </w:pPr>
    </w:p>
    <w:p w14:paraId="19E47ECE">
      <w:pPr>
        <w:pStyle w:val="12"/>
        <w:rPr>
          <w:rFonts w:hint="eastAsia" w:ascii="宋体" w:hAnsi="宋体" w:eastAsia="宋体" w:cs="Arial"/>
          <w:bCs/>
          <w:color w:val="auto"/>
          <w:sz w:val="36"/>
          <w:szCs w:val="36"/>
          <w:highlight w:val="none"/>
        </w:rPr>
      </w:pPr>
    </w:p>
    <w:p w14:paraId="5A59F305">
      <w:pPr>
        <w:pStyle w:val="12"/>
        <w:rPr>
          <w:rFonts w:hint="eastAsia" w:ascii="宋体" w:hAnsi="宋体" w:eastAsia="宋体" w:cs="Arial"/>
          <w:bCs/>
          <w:color w:val="auto"/>
          <w:sz w:val="36"/>
          <w:szCs w:val="36"/>
          <w:highlight w:val="none"/>
        </w:rPr>
      </w:pPr>
    </w:p>
    <w:p w14:paraId="262B86C9">
      <w:pPr>
        <w:pStyle w:val="11"/>
        <w:numPr>
          <w:ilvl w:val="0"/>
          <w:numId w:val="0"/>
        </w:numPr>
        <w:spacing w:before="0" w:after="0" w:line="360" w:lineRule="auto"/>
        <w:ind w:leftChars="0"/>
        <w:jc w:val="center"/>
        <w:rPr>
          <w:rFonts w:hint="eastAsia" w:ascii="宋体" w:hAnsi="宋体" w:eastAsia="宋体" w:cs="Arial"/>
          <w:bCs/>
          <w:color w:val="auto"/>
          <w:sz w:val="36"/>
          <w:szCs w:val="36"/>
          <w:highlight w:val="none"/>
        </w:rPr>
      </w:pPr>
      <w:r>
        <w:rPr>
          <w:rFonts w:hint="eastAsia" w:ascii="宋体" w:hAnsi="宋体" w:eastAsia="宋体" w:cs="Arial"/>
          <w:bCs/>
          <w:color w:val="auto"/>
          <w:sz w:val="36"/>
          <w:szCs w:val="36"/>
          <w:highlight w:val="none"/>
          <w:lang w:val="en-US" w:eastAsia="zh-CN"/>
        </w:rPr>
        <w:t>第五章</w:t>
      </w:r>
      <w:r>
        <w:rPr>
          <w:rFonts w:hint="eastAsia" w:ascii="宋体" w:hAnsi="宋体" w:eastAsia="宋体" w:cs="Arial"/>
          <w:bCs/>
          <w:color w:val="auto"/>
          <w:sz w:val="36"/>
          <w:szCs w:val="36"/>
          <w:highlight w:val="none"/>
        </w:rPr>
        <w:t>评审方法和评审标准</w:t>
      </w:r>
    </w:p>
    <w:p w14:paraId="0B9B419A">
      <w:pPr>
        <w:pStyle w:val="12"/>
        <w:numPr>
          <w:ilvl w:val="0"/>
          <w:numId w:val="0"/>
        </w:numPr>
        <w:ind w:leftChars="0"/>
        <w:rPr>
          <w:rFonts w:hint="eastAsia"/>
          <w:color w:val="auto"/>
          <w:highlight w:val="none"/>
        </w:rPr>
      </w:pPr>
    </w:p>
    <w:p w14:paraId="5087C5C3">
      <w:pPr>
        <w:pStyle w:val="12"/>
        <w:keepNext w:val="0"/>
        <w:keepLines w:val="0"/>
        <w:pageBreakBefore w:val="0"/>
        <w:widowControl w:val="0"/>
        <w:kinsoku/>
        <w:wordWrap/>
        <w:overflowPunct/>
        <w:topLinePunct w:val="0"/>
        <w:autoSpaceDE/>
        <w:autoSpaceDN/>
        <w:bidi w:val="0"/>
        <w:spacing w:line="360" w:lineRule="auto"/>
        <w:rPr>
          <w:rFonts w:eastAsia="宋体"/>
          <w:b/>
          <w:bCs/>
          <w:color w:val="auto"/>
          <w:highlight w:val="none"/>
          <w:lang w:val="en-US" w:eastAsia="zh-CN"/>
        </w:rPr>
      </w:pPr>
      <w:r>
        <w:rPr>
          <w:rFonts w:hint="eastAsia"/>
          <w:b/>
          <w:bCs/>
          <w:color w:val="auto"/>
          <w:highlight w:val="none"/>
          <w:lang w:val="en-US" w:eastAsia="zh-CN"/>
        </w:rPr>
        <w:t>一、评标办法</w:t>
      </w:r>
    </w:p>
    <w:p w14:paraId="70668365">
      <w:pPr>
        <w:pStyle w:val="70"/>
        <w:keepNext w:val="0"/>
        <w:keepLines w:val="0"/>
        <w:pageBreakBefore w:val="0"/>
        <w:widowControl w:val="0"/>
        <w:kinsoku/>
        <w:wordWrap/>
        <w:overflowPunct/>
        <w:topLinePunct w:val="0"/>
        <w:autoSpaceDE/>
        <w:autoSpaceDN/>
        <w:bidi w:val="0"/>
        <w:spacing w:before="0" w:after="0"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本项目采用综合评分法，评委会将对确定为实质性响应采购文件要求的响应文件进行评价和比较。评标结果按评审后得分由高到低顺序排列。得分相同的，按报价由低到高顺序排列。得分且报价相同的并列，响应文件满足采购文件全部实质性要求，且按照评审因素的量化指标评审得分最高的供应商为排名第一的成交候选人。</w:t>
      </w:r>
    </w:p>
    <w:p w14:paraId="5EFE01E2">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cs="宋体"/>
          <w:b/>
          <w:color w:val="auto"/>
          <w:kern w:val="0"/>
          <w:szCs w:val="21"/>
          <w:highlight w:val="none"/>
        </w:rPr>
      </w:pPr>
      <w:bookmarkStart w:id="133" w:name="_Toc449016388"/>
      <w:bookmarkStart w:id="134" w:name="_Toc449017024"/>
      <w:r>
        <w:rPr>
          <w:rFonts w:hint="eastAsia" w:ascii="宋体" w:hAnsi="宋体" w:cs="宋体"/>
          <w:b/>
          <w:color w:val="auto"/>
          <w:kern w:val="0"/>
          <w:szCs w:val="21"/>
          <w:highlight w:val="none"/>
        </w:rPr>
        <w:t>二、小型和微型企业产品价格扣除评审</w:t>
      </w:r>
      <w:bookmarkEnd w:id="133"/>
      <w:bookmarkEnd w:id="134"/>
    </w:p>
    <w:p w14:paraId="2B386466">
      <w:pPr>
        <w:pStyle w:val="70"/>
        <w:keepNext w:val="0"/>
        <w:keepLines w:val="0"/>
        <w:pageBreakBefore w:val="0"/>
        <w:widowControl w:val="0"/>
        <w:kinsoku/>
        <w:wordWrap/>
        <w:overflowPunct/>
        <w:topLinePunct w:val="0"/>
        <w:autoSpaceDE/>
        <w:autoSpaceDN/>
        <w:bidi w:val="0"/>
        <w:spacing w:before="0" w:after="0"/>
        <w:ind w:firstLine="420" w:firstLineChars="200"/>
        <w:jc w:val="both"/>
        <w:rPr>
          <w:rFonts w:hint="eastAsia" w:ascii="宋体" w:hAnsi="宋体" w:cs="宋体"/>
          <w:color w:val="auto"/>
          <w:szCs w:val="21"/>
          <w:highlight w:val="none"/>
        </w:rPr>
      </w:pPr>
      <w:r>
        <w:rPr>
          <w:rFonts w:hint="eastAsia" w:ascii="宋体" w:hAnsi="宋体" w:cs="宋体"/>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61D08E05">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1、小微型企业价格扣除</w:t>
      </w:r>
    </w:p>
    <w:p w14:paraId="7C623F05">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（1）本项目对小型和微型企</w:t>
      </w:r>
      <w:r>
        <w:rPr>
          <w:rFonts w:hint="eastAsia" w:ascii="宋体" w:hAnsi="宋体" w:cs="宋体"/>
          <w:color w:val="auto"/>
          <w:kern w:val="0"/>
          <w:szCs w:val="21"/>
          <w:highlight w:val="none"/>
        </w:rPr>
        <w:t>业产品给予20%</w:t>
      </w:r>
      <w:r>
        <w:rPr>
          <w:rFonts w:hint="eastAsia" w:ascii="宋体" w:hAnsi="宋体" w:cs="宋体"/>
          <w:color w:val="auto"/>
          <w:kern w:val="0"/>
          <w:szCs w:val="21"/>
          <w:highlight w:val="none"/>
        </w:rPr>
        <w:t>扣除价格，用扣除后的价格参与评审。</w:t>
      </w:r>
    </w:p>
    <w:p w14:paraId="3880E6F9">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（2）供应商需按照采购文件的要求提供相应的《企业声明函》。</w:t>
      </w:r>
    </w:p>
    <w:p w14:paraId="272B9860">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（3）企业标准请参照《关于印发中小企业划型标准规定的通知》（工信部联企业[2011]300号）文件规定自行填写。</w:t>
      </w:r>
    </w:p>
    <w:p w14:paraId="4C071A2E">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2、残疾人福利单位价格扣除</w:t>
      </w:r>
    </w:p>
    <w:p w14:paraId="18A33369">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（1）本项目对残疾人福利性单位视同小型、微型企业，给予20%价格扣除，用扣除后的价格参与评审。</w:t>
      </w:r>
    </w:p>
    <w:p w14:paraId="60EB1AEF">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（2）残疾人福利单位需按照采购文件的要求提供《残疾人福利性单位声明函》。</w:t>
      </w:r>
    </w:p>
    <w:p w14:paraId="25FA66CE">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（3）残疾人福利单位标准请参照《关于促进残疾人就业政府采购政策的通知》（财库〔2017〕141号）。</w:t>
      </w:r>
    </w:p>
    <w:p w14:paraId="56792352">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3、监狱和戒毒企业价格扣除</w:t>
      </w:r>
    </w:p>
    <w:p w14:paraId="0C2E9B45">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（1）本项目对监狱和戒毒企业（简称监狱企业）视同小型、微型企业，给予20%价格扣除，用扣除后的价格参与评审。</w:t>
      </w:r>
    </w:p>
    <w:p w14:paraId="7F990FA4">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（2）监狱企业参加采购活动时，需提供由省级以上监狱管理局、戒毒管理局(含新疆生产建设兵团)出具的属于监狱企业的证明文件。供应商如不提供上述证明文件，价格将不做相应扣除。</w:t>
      </w:r>
    </w:p>
    <w:p w14:paraId="193DD64E">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（3）监狱企业标准请参照《关于政府采购支持监狱企业发展有关问题的通知》（财库[2014]68号）。</w:t>
      </w:r>
    </w:p>
    <w:p w14:paraId="0E2172FD">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4、残疾人福利单位、监狱企业属于小型、微型企业的，不重复享受政策。</w:t>
      </w:r>
    </w:p>
    <w:p w14:paraId="25AA1A2A">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大中型企业和其他自然人、法人或者其他组织并与小型、微型企业（残疾人福利单位、监狱企业）组成联合体共同参加采购活动。联合协议中约定，小型、微型企业（残疾人福利单位、监狱企业）的协议合同金额占到联合体协议合同总金额30%以上的，给予联合体6%的价格扣除，用扣除后的价格参与评审。</w:t>
      </w:r>
    </w:p>
    <w:p w14:paraId="2565565D">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6、联合体各方均为小型、微型企业（残疾人福利单位、监狱企业）的，联合体享受20%价格扣除，用扣除后的价格参与评审。</w:t>
      </w:r>
    </w:p>
    <w:p w14:paraId="1713EEFA">
      <w:pPr>
        <w:pStyle w:val="2"/>
        <w:rPr>
          <w:rFonts w:hint="eastAsia" w:ascii="宋体" w:hAnsi="宋体" w:cs="宋体"/>
          <w:color w:val="auto"/>
          <w:kern w:val="0"/>
          <w:szCs w:val="21"/>
          <w:highlight w:val="none"/>
        </w:rPr>
      </w:pPr>
    </w:p>
    <w:p w14:paraId="7947EB19">
      <w:pPr>
        <w:pStyle w:val="3"/>
        <w:rPr>
          <w:rFonts w:hint="eastAsia"/>
          <w:color w:val="auto"/>
          <w:highlight w:val="none"/>
        </w:rPr>
      </w:pPr>
    </w:p>
    <w:p w14:paraId="006C115C">
      <w:pPr>
        <w:pStyle w:val="70"/>
        <w:spacing w:before="0" w:after="0"/>
        <w:ind w:firstLine="422" w:firstLineChars="200"/>
        <w:rPr>
          <w:rFonts w:hint="eastAsia" w:ascii="宋体" w:hAnsi="宋体"/>
          <w:b/>
          <w:color w:val="auto"/>
          <w:kern w:val="2"/>
          <w:sz w:val="21"/>
          <w:szCs w:val="21"/>
          <w:highlight w:val="none"/>
        </w:rPr>
      </w:pPr>
      <w:r>
        <w:rPr>
          <w:rFonts w:hint="eastAsia" w:ascii="宋体" w:hAnsi="宋体"/>
          <w:b/>
          <w:color w:val="auto"/>
          <w:kern w:val="2"/>
          <w:sz w:val="21"/>
          <w:szCs w:val="21"/>
          <w:highlight w:val="none"/>
        </w:rPr>
        <w:t>三、评标标准</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0"/>
        <w:gridCol w:w="7609"/>
      </w:tblGrid>
      <w:tr w14:paraId="7000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860" w:type="dxa"/>
            <w:vAlign w:val="center"/>
          </w:tcPr>
          <w:p w14:paraId="1F3342C8">
            <w:pPr>
              <w:keepNext w:val="0"/>
              <w:keepLines w:val="0"/>
              <w:suppressLineNumbers w:val="0"/>
              <w:spacing w:before="0" w:beforeAutospacing="0" w:after="0" w:afterAutospacing="0"/>
              <w:ind w:left="0" w:right="0"/>
              <w:jc w:val="center"/>
              <w:rPr>
                <w:rFonts w:hint="eastAsia" w:ascii="宋体" w:cs="宋体"/>
                <w:color w:val="auto"/>
                <w:szCs w:val="21"/>
                <w:highlight w:val="none"/>
              </w:rPr>
            </w:pPr>
            <w:r>
              <w:rPr>
                <w:rFonts w:hint="eastAsia" w:ascii="宋体" w:hAnsi="宋体" w:cs="宋体"/>
                <w:color w:val="auto"/>
                <w:szCs w:val="21"/>
                <w:highlight w:val="none"/>
              </w:rPr>
              <w:t>项  目</w:t>
            </w:r>
          </w:p>
        </w:tc>
        <w:tc>
          <w:tcPr>
            <w:tcW w:w="7609" w:type="dxa"/>
            <w:vAlign w:val="center"/>
          </w:tcPr>
          <w:p w14:paraId="74BE0360">
            <w:pPr>
              <w:keepNext w:val="0"/>
              <w:keepLines w:val="0"/>
              <w:suppressLineNumbers w:val="0"/>
              <w:spacing w:before="0" w:beforeAutospacing="0" w:after="0" w:afterAutospacing="0"/>
              <w:ind w:left="0" w:right="0"/>
              <w:jc w:val="center"/>
              <w:rPr>
                <w:rFonts w:hint="eastAsia" w:ascii="宋体" w:cs="宋体"/>
                <w:color w:val="auto"/>
                <w:szCs w:val="21"/>
                <w:highlight w:val="none"/>
              </w:rPr>
            </w:pPr>
            <w:r>
              <w:rPr>
                <w:rFonts w:hint="eastAsia" w:ascii="宋体" w:hAnsi="宋体" w:cs="宋体"/>
                <w:color w:val="auto"/>
                <w:szCs w:val="21"/>
                <w:highlight w:val="none"/>
              </w:rPr>
              <w:t>评  分  标  准</w:t>
            </w:r>
          </w:p>
        </w:tc>
      </w:tr>
      <w:tr w14:paraId="777B4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1860" w:type="dxa"/>
            <w:vAlign w:val="center"/>
          </w:tcPr>
          <w:p w14:paraId="7087B06E">
            <w:pPr>
              <w:keepNext w:val="0"/>
              <w:keepLines w:val="0"/>
              <w:suppressLineNumbers w:val="0"/>
              <w:spacing w:before="0" w:beforeAutospacing="0" w:after="0" w:afterAutospacing="0"/>
              <w:ind w:left="0" w:right="0"/>
              <w:jc w:val="center"/>
              <w:rPr>
                <w:rFonts w:hint="eastAsia" w:ascii="宋体" w:cs="宋体"/>
                <w:color w:val="auto"/>
                <w:szCs w:val="21"/>
                <w:highlight w:val="none"/>
              </w:rPr>
            </w:pPr>
            <w:r>
              <w:rPr>
                <w:rFonts w:hint="eastAsia" w:ascii="宋体" w:hAnsi="宋体" w:cs="宋体"/>
                <w:color w:val="auto"/>
                <w:szCs w:val="21"/>
                <w:highlight w:val="none"/>
              </w:rPr>
              <w:t>价 格</w:t>
            </w:r>
          </w:p>
          <w:p w14:paraId="7CA8A519">
            <w:pPr>
              <w:keepNext w:val="0"/>
              <w:keepLines w:val="0"/>
              <w:suppressLineNumbers w:val="0"/>
              <w:spacing w:before="0" w:beforeAutospacing="0" w:after="0" w:afterAutospacing="0"/>
              <w:ind w:left="0" w:right="0"/>
              <w:jc w:val="center"/>
              <w:rPr>
                <w:rFonts w:hint="eastAsia" w:ascii="宋体" w:cs="宋体"/>
                <w:color w:val="auto"/>
                <w:szCs w:val="21"/>
                <w:highlight w:val="none"/>
              </w:rPr>
            </w:pPr>
            <w:r>
              <w:rPr>
                <w:rFonts w:hint="eastAsia" w:ascii="宋体" w:hAnsi="宋体" w:cs="宋体"/>
                <w:color w:val="auto"/>
                <w:szCs w:val="21"/>
                <w:highlight w:val="none"/>
              </w:rPr>
              <w:t>（30分）</w:t>
            </w:r>
          </w:p>
        </w:tc>
        <w:tc>
          <w:tcPr>
            <w:tcW w:w="7609" w:type="dxa"/>
            <w:vAlign w:val="center"/>
          </w:tcPr>
          <w:p w14:paraId="04AF4A4F">
            <w:pPr>
              <w:keepNext w:val="0"/>
              <w:keepLines w:val="0"/>
              <w:suppressLineNumbers w:val="0"/>
              <w:spacing w:before="0" w:beforeAutospacing="0" w:after="0" w:afterAutospacing="0" w:line="360" w:lineRule="auto"/>
              <w:ind w:left="0" w:right="0"/>
              <w:rPr>
                <w:rFonts w:hint="eastAsia" w:ascii="宋体" w:cs="宋体"/>
                <w:color w:val="auto"/>
                <w:szCs w:val="21"/>
                <w:highlight w:val="none"/>
              </w:rPr>
            </w:pPr>
            <w:r>
              <w:rPr>
                <w:rFonts w:hint="eastAsia" w:ascii="宋体" w:hAnsi="宋体"/>
                <w:color w:val="auto"/>
                <w:szCs w:val="21"/>
                <w:highlight w:val="none"/>
              </w:rPr>
              <w:t>以满足磋商文件</w:t>
            </w:r>
            <w:r>
              <w:rPr>
                <w:rFonts w:hint="eastAsia" w:ascii="宋体" w:hAnsi="宋体"/>
                <w:color w:val="auto"/>
                <w:szCs w:val="21"/>
                <w:highlight w:val="none"/>
              </w:rPr>
              <w:t>要求的最</w:t>
            </w:r>
            <w:r>
              <w:rPr>
                <w:rFonts w:hint="eastAsia" w:ascii="宋体" w:hAnsi="宋体"/>
                <w:color w:val="auto"/>
                <w:szCs w:val="21"/>
                <w:highlight w:val="none"/>
                <w:lang w:val="en-US" w:eastAsia="zh-CN"/>
              </w:rPr>
              <w:t>终最</w:t>
            </w:r>
            <w:r>
              <w:rPr>
                <w:rFonts w:hint="eastAsia" w:ascii="宋体" w:hAnsi="宋体"/>
                <w:color w:val="auto"/>
                <w:szCs w:val="21"/>
                <w:highlight w:val="none"/>
              </w:rPr>
              <w:t>低价为基准价，得30分，其他报价得分＝（基准价/报价）×30×100％（四舍五入，保留两</w:t>
            </w:r>
            <w:r>
              <w:rPr>
                <w:rFonts w:hint="eastAsia" w:ascii="宋体" w:hAnsi="宋体"/>
                <w:color w:val="auto"/>
                <w:szCs w:val="21"/>
                <w:highlight w:val="none"/>
              </w:rPr>
              <w:t>位小数）。</w:t>
            </w:r>
          </w:p>
        </w:tc>
      </w:tr>
      <w:tr w14:paraId="1020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jc w:val="center"/>
        </w:trPr>
        <w:tc>
          <w:tcPr>
            <w:tcW w:w="1860" w:type="dxa"/>
            <w:vMerge w:val="restart"/>
            <w:vAlign w:val="center"/>
          </w:tcPr>
          <w:p w14:paraId="7497D350">
            <w:pPr>
              <w:keepNext w:val="0"/>
              <w:keepLines w:val="0"/>
              <w:suppressLineNumbers w:val="0"/>
              <w:spacing w:before="0" w:beforeAutospacing="0" w:after="0" w:afterAutospacing="0"/>
              <w:ind w:left="0" w:right="0"/>
              <w:jc w:val="center"/>
              <w:rPr>
                <w:rFonts w:hint="eastAsia" w:ascii="宋体"/>
                <w:color w:val="auto"/>
                <w:szCs w:val="21"/>
                <w:highlight w:val="none"/>
              </w:rPr>
            </w:pPr>
            <w:r>
              <w:rPr>
                <w:rFonts w:hint="eastAsia" w:ascii="宋体" w:hAnsi="宋体"/>
                <w:color w:val="auto"/>
                <w:szCs w:val="21"/>
                <w:highlight w:val="none"/>
              </w:rPr>
              <w:t>养护方案</w:t>
            </w:r>
          </w:p>
          <w:p w14:paraId="2B704E9F">
            <w:pPr>
              <w:keepNext w:val="0"/>
              <w:keepLines w:val="0"/>
              <w:suppressLineNumbers w:val="0"/>
              <w:spacing w:before="0" w:beforeAutospacing="0" w:after="0" w:afterAutospacing="0"/>
              <w:ind w:left="0" w:right="0"/>
              <w:jc w:val="center"/>
              <w:rPr>
                <w:rFonts w:hint="eastAsia" w:ascii="宋体" w:cs="宋体"/>
                <w:color w:val="auto"/>
                <w:szCs w:val="21"/>
                <w:highlight w:val="none"/>
              </w:rPr>
            </w:pPr>
            <w:r>
              <w:rPr>
                <w:rFonts w:hint="eastAsia" w:ascii="宋体" w:hAnsi="宋体"/>
                <w:color w:val="auto"/>
                <w:szCs w:val="21"/>
                <w:highlight w:val="none"/>
              </w:rPr>
              <w:t>（40分）</w:t>
            </w:r>
          </w:p>
        </w:tc>
        <w:tc>
          <w:tcPr>
            <w:tcW w:w="7609" w:type="dxa"/>
            <w:vAlign w:val="center"/>
          </w:tcPr>
          <w:p w14:paraId="584509B2">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1、养护管理制度全面完善、程序标准规范、责任明确到位、方案可操作性强，包括档案管理完整齐全、查询方便快捷的得10分；</w:t>
            </w:r>
          </w:p>
          <w:p w14:paraId="4C28337D">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2、养护管理制度较完善、程序标准较规范、责任较明确到位、方案可操作性较强，档案管理较完整，查询方便的得7分；</w:t>
            </w:r>
          </w:p>
          <w:p w14:paraId="5FBB1791">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3、养护管理制度一般、程序不混乱、责任到位、方案可操作性一般，档案管理完整可查的得4分；</w:t>
            </w:r>
          </w:p>
          <w:p w14:paraId="7A3BF7DC">
            <w:pPr>
              <w:keepNext w:val="0"/>
              <w:keepLines w:val="0"/>
              <w:widowControl/>
              <w:suppressLineNumbers w:val="0"/>
              <w:spacing w:before="0" w:beforeAutospacing="0" w:after="0" w:afterAutospacing="0" w:line="360" w:lineRule="auto"/>
              <w:ind w:left="0" w:right="0"/>
              <w:rPr>
                <w:rFonts w:hint="eastAsia" w:ascii="宋体" w:cs="宋体"/>
                <w:color w:val="auto"/>
                <w:szCs w:val="21"/>
                <w:highlight w:val="none"/>
              </w:rPr>
            </w:pPr>
            <w:r>
              <w:rPr>
                <w:rFonts w:hint="eastAsia" w:ascii="宋体" w:hAnsi="宋体"/>
                <w:color w:val="auto"/>
                <w:szCs w:val="21"/>
                <w:highlight w:val="none"/>
              </w:rPr>
              <w:t>4、养护管理制度不完整、程序混乱、责任未明确到位、方案可操作性差，档案管理混乱、不便于查询的得1分。</w:t>
            </w:r>
          </w:p>
        </w:tc>
      </w:tr>
      <w:tr w14:paraId="5D5DB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3" w:hRule="atLeast"/>
          <w:jc w:val="center"/>
        </w:trPr>
        <w:tc>
          <w:tcPr>
            <w:tcW w:w="1860" w:type="dxa"/>
            <w:vMerge w:val="continue"/>
            <w:vAlign w:val="center"/>
          </w:tcPr>
          <w:p w14:paraId="29A150B3">
            <w:pPr>
              <w:keepNext w:val="0"/>
              <w:keepLines w:val="0"/>
              <w:suppressLineNumbers w:val="0"/>
              <w:spacing w:before="0" w:beforeAutospacing="0" w:after="0" w:afterAutospacing="0"/>
              <w:ind w:left="0" w:right="0"/>
              <w:jc w:val="center"/>
              <w:rPr>
                <w:rFonts w:hint="eastAsia" w:ascii="宋体"/>
                <w:color w:val="auto"/>
                <w:szCs w:val="21"/>
                <w:highlight w:val="none"/>
              </w:rPr>
            </w:pPr>
          </w:p>
        </w:tc>
        <w:tc>
          <w:tcPr>
            <w:tcW w:w="7609" w:type="dxa"/>
            <w:vAlign w:val="center"/>
          </w:tcPr>
          <w:p w14:paraId="6D4A9507">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1、养护项目工作人员安排计划全面完善，项目负责人、管理人员、各专业工种人员技术力量雄厚，以及劳动力配备合理齐全，组织管理体系科学，能够有效实施养护管理工作的得10分；</w:t>
            </w:r>
          </w:p>
          <w:p w14:paraId="7FC9255E">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2、养护项目工作人员安排计划较完善，项目负责人、管理人员、各专业工种人员技术力量较雄厚，以及劳动力配备较合理齐全，组织管理体系较科学，能够较好地实施养护管理工作的得7分；</w:t>
            </w:r>
          </w:p>
          <w:p w14:paraId="16D772AD">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3、养护项目工作人员安排计划一般，项目负责人、管理人员、各专业工种人员技术力量一般，以及劳动力配备一般，组织管理体系一般，能够基本完成实施养护管理工作的得4分；</w:t>
            </w:r>
          </w:p>
          <w:p w14:paraId="745D637A">
            <w:pPr>
              <w:keepNext w:val="0"/>
              <w:keepLines w:val="0"/>
              <w:widowControl/>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4、养护项目工作人员安排计划不合理，项目负责人、管理人员、各专业工种人员技术力量欠缺，以及劳动力配备欠缺，组织管理体系差，不能够实施养护管理工作的得1分。</w:t>
            </w:r>
          </w:p>
          <w:p w14:paraId="511AA85D">
            <w:pPr>
              <w:keepNext w:val="0"/>
              <w:keepLines w:val="0"/>
              <w:widowControl/>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（提供人员证书和供应商为其缴纳的202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3</w:t>
            </w:r>
            <w:r>
              <w:rPr>
                <w:rFonts w:hint="eastAsia" w:ascii="宋体" w:hAnsi="宋体"/>
                <w:color w:val="auto"/>
                <w:szCs w:val="21"/>
                <w:highlight w:val="none"/>
              </w:rPr>
              <w:t>月至202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月三个</w:t>
            </w:r>
            <w:r>
              <w:rPr>
                <w:rFonts w:hint="eastAsia" w:ascii="宋体" w:hAnsi="宋体"/>
                <w:color w:val="auto"/>
                <w:szCs w:val="21"/>
                <w:highlight w:val="none"/>
              </w:rPr>
              <w:t>月内任意一个月社保证明，复印件加盖供应商公章，原件备查）</w:t>
            </w:r>
          </w:p>
        </w:tc>
      </w:tr>
      <w:tr w14:paraId="4D29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860" w:type="dxa"/>
            <w:vMerge w:val="continue"/>
            <w:vAlign w:val="center"/>
          </w:tcPr>
          <w:p w14:paraId="4857459F">
            <w:pPr>
              <w:keepNext w:val="0"/>
              <w:keepLines w:val="0"/>
              <w:suppressLineNumbers w:val="0"/>
              <w:spacing w:before="0" w:beforeAutospacing="0" w:after="0" w:afterAutospacing="0"/>
              <w:ind w:left="0" w:right="0"/>
              <w:jc w:val="center"/>
              <w:rPr>
                <w:rFonts w:hint="eastAsia" w:ascii="宋体"/>
                <w:color w:val="auto"/>
                <w:szCs w:val="21"/>
                <w:highlight w:val="none"/>
              </w:rPr>
            </w:pPr>
          </w:p>
        </w:tc>
        <w:tc>
          <w:tcPr>
            <w:tcW w:w="7609" w:type="dxa"/>
            <w:vAlign w:val="center"/>
          </w:tcPr>
          <w:p w14:paraId="19E86BF1">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1、养护技术方案根据季节变化考虑各类园林植物特性，养护计划周密、措施方案合理有效，病虫害防治方案细致全面，可行性强的得10分；</w:t>
            </w:r>
          </w:p>
          <w:p w14:paraId="21303934">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2、养护技术方案根据季节变化考虑各类园林植物特性，养护计划较周密、措施方案较合理，病虫害防治方案较全面，可行性较强的得7分；</w:t>
            </w:r>
          </w:p>
          <w:p w14:paraId="686FABA9">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3、养护技术方案根据季节变化考虑各类园林植物特性，养护计划一般、措施方案一般，病虫害防治方案一般，有可行性的得4分；</w:t>
            </w:r>
          </w:p>
          <w:p w14:paraId="23D86E58">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4、养护技术方案根据季节变化考虑各类园林植物特性，养护计划差、措施方案不合理，病虫害防治方案差，不具有可行性的得1分。</w:t>
            </w:r>
          </w:p>
        </w:tc>
      </w:tr>
      <w:tr w14:paraId="4CCB6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860" w:type="dxa"/>
            <w:vMerge w:val="continue"/>
            <w:vAlign w:val="center"/>
          </w:tcPr>
          <w:p w14:paraId="5188A5E2">
            <w:pPr>
              <w:keepNext w:val="0"/>
              <w:keepLines w:val="0"/>
              <w:suppressLineNumbers w:val="0"/>
              <w:spacing w:before="0" w:beforeAutospacing="0" w:after="0" w:afterAutospacing="0"/>
              <w:ind w:left="0" w:right="0"/>
              <w:jc w:val="center"/>
              <w:rPr>
                <w:rFonts w:hint="eastAsia" w:ascii="宋体"/>
                <w:color w:val="auto"/>
                <w:szCs w:val="21"/>
                <w:highlight w:val="none"/>
              </w:rPr>
            </w:pPr>
          </w:p>
        </w:tc>
        <w:tc>
          <w:tcPr>
            <w:tcW w:w="7609" w:type="dxa"/>
            <w:vAlign w:val="center"/>
          </w:tcPr>
          <w:p w14:paraId="0777C21F">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color w:val="auto"/>
                <w:szCs w:val="21"/>
                <w:highlight w:val="none"/>
              </w:rPr>
            </w:pPr>
            <w:r>
              <w:rPr>
                <w:rFonts w:hint="eastAsia" w:ascii="宋体" w:hAnsi="宋体" w:cs="宋体"/>
                <w:color w:val="auto"/>
                <w:szCs w:val="21"/>
                <w:highlight w:val="none"/>
              </w:rPr>
              <w:t>1、应急工作计划和方案编制合理，措施得力度强的得5分；</w:t>
            </w:r>
          </w:p>
          <w:p w14:paraId="4D612366">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color w:val="auto"/>
                <w:szCs w:val="21"/>
                <w:highlight w:val="none"/>
              </w:rPr>
            </w:pPr>
            <w:r>
              <w:rPr>
                <w:rFonts w:hint="eastAsia" w:ascii="宋体" w:hAnsi="宋体" w:cs="宋体"/>
                <w:color w:val="auto"/>
                <w:szCs w:val="21"/>
                <w:highlight w:val="none"/>
              </w:rPr>
              <w:t>2、应急工作计划和方案编制较合理，措施得力度一般的得3分；</w:t>
            </w:r>
          </w:p>
          <w:p w14:paraId="57942C4E">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s="宋体"/>
                <w:color w:val="auto"/>
                <w:szCs w:val="21"/>
                <w:highlight w:val="none"/>
              </w:rPr>
              <w:t>3、应急工作计划和方案编制不合理，措施得力度较差的得1分。</w:t>
            </w:r>
          </w:p>
        </w:tc>
      </w:tr>
      <w:tr w14:paraId="6F4CD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860" w:type="dxa"/>
            <w:vMerge w:val="continue"/>
            <w:vAlign w:val="center"/>
          </w:tcPr>
          <w:p w14:paraId="3C259018">
            <w:pPr>
              <w:keepNext w:val="0"/>
              <w:keepLines w:val="0"/>
              <w:suppressLineNumbers w:val="0"/>
              <w:spacing w:before="0" w:beforeAutospacing="0" w:after="0" w:afterAutospacing="0"/>
              <w:ind w:left="0" w:right="0"/>
              <w:jc w:val="center"/>
              <w:rPr>
                <w:rFonts w:hint="eastAsia" w:ascii="宋体"/>
                <w:color w:val="auto"/>
                <w:szCs w:val="21"/>
                <w:highlight w:val="none"/>
              </w:rPr>
            </w:pPr>
          </w:p>
        </w:tc>
        <w:tc>
          <w:tcPr>
            <w:tcW w:w="7609" w:type="dxa"/>
            <w:vAlign w:val="center"/>
          </w:tcPr>
          <w:p w14:paraId="6AA40F3E">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color w:val="auto"/>
                <w:szCs w:val="21"/>
                <w:highlight w:val="none"/>
              </w:rPr>
            </w:pPr>
            <w:r>
              <w:rPr>
                <w:rFonts w:hint="eastAsia" w:ascii="宋体" w:hAnsi="宋体" w:cs="宋体"/>
                <w:color w:val="auto"/>
                <w:szCs w:val="21"/>
                <w:highlight w:val="none"/>
              </w:rPr>
              <w:t>1、绿化养护</w:t>
            </w:r>
            <w:r>
              <w:rPr>
                <w:rFonts w:hint="eastAsia" w:ascii="宋体" w:hAnsi="宋体" w:cs="宋体"/>
                <w:color w:val="auto"/>
                <w:szCs w:val="21"/>
                <w:highlight w:val="none"/>
                <w:lang w:val="zh-CN"/>
              </w:rPr>
              <w:t>的安全管理、文明作业方案细致全面、合理、可行性强的得</w:t>
            </w:r>
            <w:r>
              <w:rPr>
                <w:rFonts w:hint="eastAsia" w:ascii="宋体" w:hAnsi="宋体" w:cs="宋体"/>
                <w:color w:val="auto"/>
                <w:szCs w:val="21"/>
                <w:highlight w:val="none"/>
              </w:rPr>
              <w:t>5</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p w14:paraId="31B2A608">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color w:val="auto"/>
                <w:szCs w:val="21"/>
                <w:highlight w:val="none"/>
              </w:rPr>
            </w:pPr>
            <w:r>
              <w:rPr>
                <w:rFonts w:hint="eastAsia" w:ascii="宋体" w:hAnsi="宋体" w:cs="宋体"/>
                <w:color w:val="auto"/>
                <w:szCs w:val="21"/>
                <w:highlight w:val="none"/>
              </w:rPr>
              <w:t>2、绿化养护</w:t>
            </w:r>
            <w:r>
              <w:rPr>
                <w:rFonts w:hint="eastAsia" w:ascii="宋体" w:hAnsi="宋体" w:cs="宋体"/>
                <w:color w:val="auto"/>
                <w:szCs w:val="21"/>
                <w:highlight w:val="none"/>
                <w:lang w:val="zh-CN"/>
              </w:rPr>
              <w:t>的</w:t>
            </w:r>
            <w:r>
              <w:rPr>
                <w:rFonts w:hint="eastAsia" w:ascii="宋体" w:hAnsi="宋体" w:cs="宋体"/>
                <w:color w:val="auto"/>
                <w:szCs w:val="21"/>
                <w:highlight w:val="none"/>
              </w:rPr>
              <w:t>安全</w:t>
            </w:r>
            <w:r>
              <w:rPr>
                <w:rFonts w:hint="eastAsia" w:ascii="宋体" w:hAnsi="宋体" w:cs="宋体"/>
                <w:color w:val="auto"/>
                <w:szCs w:val="21"/>
                <w:highlight w:val="none"/>
                <w:lang w:val="zh-CN"/>
              </w:rPr>
              <w:t>管理、文明作业</w:t>
            </w:r>
            <w:r>
              <w:rPr>
                <w:rFonts w:hint="eastAsia" w:ascii="宋体" w:hAnsi="宋体" w:cs="宋体"/>
                <w:color w:val="auto"/>
                <w:szCs w:val="21"/>
                <w:highlight w:val="none"/>
              </w:rPr>
              <w:t>方案较全面、具有一定可行性得3分；</w:t>
            </w:r>
          </w:p>
          <w:p w14:paraId="4E6D9EEE">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s="宋体"/>
                <w:color w:val="auto"/>
                <w:szCs w:val="21"/>
                <w:highlight w:val="none"/>
              </w:rPr>
              <w:t>3、绿化养护</w:t>
            </w:r>
            <w:r>
              <w:rPr>
                <w:rFonts w:hint="eastAsia" w:ascii="宋体" w:hAnsi="宋体" w:cs="宋体"/>
                <w:color w:val="auto"/>
                <w:szCs w:val="21"/>
                <w:highlight w:val="none"/>
                <w:lang w:val="zh-CN"/>
              </w:rPr>
              <w:t>的</w:t>
            </w:r>
            <w:r>
              <w:rPr>
                <w:rFonts w:hint="eastAsia" w:ascii="宋体" w:hAnsi="宋体" w:cs="宋体"/>
                <w:color w:val="auto"/>
                <w:szCs w:val="21"/>
                <w:highlight w:val="none"/>
              </w:rPr>
              <w:t>安全管理、</w:t>
            </w:r>
            <w:r>
              <w:rPr>
                <w:rFonts w:hint="eastAsia" w:ascii="宋体" w:hAnsi="宋体" w:cs="宋体"/>
                <w:color w:val="auto"/>
                <w:szCs w:val="21"/>
                <w:highlight w:val="none"/>
                <w:lang w:val="zh-CN"/>
              </w:rPr>
              <w:t>文明作业</w:t>
            </w:r>
            <w:r>
              <w:rPr>
                <w:rFonts w:hint="eastAsia" w:ascii="宋体" w:hAnsi="宋体" w:cs="宋体"/>
                <w:color w:val="auto"/>
                <w:szCs w:val="21"/>
                <w:highlight w:val="none"/>
              </w:rPr>
              <w:t>方案不完整、可行性较差得1分。</w:t>
            </w:r>
          </w:p>
        </w:tc>
      </w:tr>
      <w:tr w14:paraId="53A42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4" w:hRule="atLeast"/>
          <w:jc w:val="center"/>
        </w:trPr>
        <w:tc>
          <w:tcPr>
            <w:tcW w:w="1860" w:type="dxa"/>
            <w:vAlign w:val="center"/>
          </w:tcPr>
          <w:p w14:paraId="2D24317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技术力量</w:t>
            </w:r>
          </w:p>
          <w:p w14:paraId="11BE5C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（18分）</w:t>
            </w:r>
          </w:p>
        </w:tc>
        <w:tc>
          <w:tcPr>
            <w:tcW w:w="7609" w:type="dxa"/>
            <w:vAlign w:val="center"/>
          </w:tcPr>
          <w:p w14:paraId="6C4612D8">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对各供应商持有针对性绿化养护器械的齐备情况以及数量评分，所有器械须提供</w:t>
            </w:r>
          </w:p>
          <w:p w14:paraId="0E986506">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（1）割灌机有1台得2分，每增加1台得2分，满分4分；</w:t>
            </w:r>
          </w:p>
          <w:p w14:paraId="71ED9BCF">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（2）绿篱机有1台得2分，每增加1台得2分，满分4分；</w:t>
            </w:r>
          </w:p>
          <w:p w14:paraId="434EEAAC">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（3）货车每有1辆得2分，满分2分； </w:t>
            </w:r>
          </w:p>
          <w:p w14:paraId="690A6849">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（4）高空作业车每有1辆得2分，满分2分；</w:t>
            </w:r>
          </w:p>
          <w:p w14:paraId="3FF3A86E">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（5）油锯或修枝剪每有1把得2分，满分4分；</w:t>
            </w:r>
          </w:p>
          <w:p w14:paraId="05F330C3">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（6）洒水车有1台得2分，满分2分。</w:t>
            </w:r>
          </w:p>
          <w:p w14:paraId="4DCA688E">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(需提供发票复印件加盖供应商公章，原始发票备查，购买发票上载明的所有人必须为投标人)</w:t>
            </w:r>
          </w:p>
        </w:tc>
      </w:tr>
      <w:tr w14:paraId="1FFF0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1860" w:type="dxa"/>
            <w:vAlign w:val="center"/>
          </w:tcPr>
          <w:p w14:paraId="330EA0C2">
            <w:pPr>
              <w:keepNext w:val="0"/>
              <w:keepLines w:val="0"/>
              <w:suppressLineNumbers w:val="0"/>
              <w:spacing w:before="0" w:beforeAutospacing="0" w:after="0" w:afterAutospacing="0"/>
              <w:ind w:left="0" w:right="0"/>
              <w:jc w:val="center"/>
              <w:rPr>
                <w:rFonts w:hint="eastAsia" w:ascii="宋体"/>
                <w:color w:val="auto"/>
                <w:szCs w:val="21"/>
                <w:highlight w:val="none"/>
              </w:rPr>
            </w:pPr>
            <w:r>
              <w:rPr>
                <w:rFonts w:hint="eastAsia" w:ascii="宋体" w:hAnsi="宋体"/>
                <w:color w:val="auto"/>
                <w:szCs w:val="21"/>
                <w:highlight w:val="none"/>
              </w:rPr>
              <w:t>业绩</w:t>
            </w:r>
          </w:p>
          <w:p w14:paraId="475E40F4">
            <w:pPr>
              <w:keepNext w:val="0"/>
              <w:keepLines w:val="0"/>
              <w:suppressLineNumbers w:val="0"/>
              <w:spacing w:before="0" w:beforeAutospacing="0" w:after="0" w:afterAutospacing="0"/>
              <w:ind w:left="0" w:right="0"/>
              <w:jc w:val="center"/>
              <w:rPr>
                <w:rFonts w:hint="eastAsia" w:ascii="宋体" w:cs="宋体"/>
                <w:color w:val="auto"/>
                <w:szCs w:val="21"/>
                <w:highlight w:val="none"/>
              </w:rPr>
            </w:pPr>
            <w:r>
              <w:rPr>
                <w:rFonts w:hint="eastAsia" w:ascii="宋体" w:hAnsi="宋体"/>
                <w:color w:val="auto"/>
                <w:szCs w:val="21"/>
                <w:highlight w:val="none"/>
              </w:rPr>
              <w:t>（6分）</w:t>
            </w:r>
          </w:p>
        </w:tc>
        <w:tc>
          <w:tcPr>
            <w:tcW w:w="7609" w:type="dxa"/>
            <w:vAlign w:val="center"/>
          </w:tcPr>
          <w:p w14:paraId="70532867">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olor w:val="auto"/>
                <w:szCs w:val="21"/>
                <w:highlight w:val="none"/>
              </w:rPr>
            </w:pPr>
            <w:r>
              <w:rPr>
                <w:rFonts w:hint="eastAsia" w:ascii="宋体" w:hAnsi="宋体"/>
                <w:color w:val="auto"/>
                <w:szCs w:val="21"/>
                <w:highlight w:val="none"/>
              </w:rPr>
              <w:t>供应商202</w:t>
            </w:r>
            <w:r>
              <w:rPr>
                <w:rFonts w:hint="eastAsia" w:ascii="宋体" w:hAnsi="宋体"/>
                <w:color w:val="auto"/>
                <w:szCs w:val="21"/>
                <w:highlight w:val="none"/>
                <w:lang w:val="en-US" w:eastAsia="zh-CN"/>
              </w:rPr>
              <w:t>2</w:t>
            </w:r>
            <w:r>
              <w:rPr>
                <w:rFonts w:hint="eastAsia" w:ascii="宋体" w:hAnsi="宋体"/>
                <w:color w:val="auto"/>
                <w:szCs w:val="21"/>
                <w:highlight w:val="none"/>
              </w:rPr>
              <w:t>年1月1日至今类似绿化养护项目的业绩（以合同签订日期为准），有一份得2分，满分6分。</w:t>
            </w:r>
          </w:p>
          <w:p w14:paraId="32739299">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color w:val="auto"/>
                <w:szCs w:val="21"/>
                <w:highlight w:val="none"/>
              </w:rPr>
            </w:pPr>
            <w:r>
              <w:rPr>
                <w:rFonts w:hint="eastAsia" w:ascii="宋体" w:hAnsi="宋体"/>
                <w:color w:val="auto"/>
                <w:szCs w:val="21"/>
                <w:highlight w:val="none"/>
              </w:rPr>
              <w:t>（须提供合同复印件加盖供应商公章，原件备查）</w:t>
            </w:r>
          </w:p>
        </w:tc>
      </w:tr>
      <w:tr w14:paraId="210D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860" w:type="dxa"/>
            <w:vAlign w:val="center"/>
          </w:tcPr>
          <w:p w14:paraId="1DDAB40D">
            <w:pPr>
              <w:keepNext w:val="0"/>
              <w:keepLines w:val="0"/>
              <w:suppressLineNumbers w:val="0"/>
              <w:spacing w:before="0" w:beforeAutospacing="0" w:after="0" w:afterAutospacing="0"/>
              <w:ind w:left="0" w:right="0"/>
              <w:jc w:val="center"/>
              <w:rPr>
                <w:rFonts w:hint="eastAsia" w:ascii="宋体"/>
                <w:color w:val="auto"/>
                <w:szCs w:val="21"/>
                <w:highlight w:val="none"/>
              </w:rPr>
            </w:pPr>
            <w:r>
              <w:rPr>
                <w:rFonts w:hint="eastAsia" w:ascii="宋体" w:hAnsi="宋体"/>
                <w:color w:val="auto"/>
                <w:szCs w:val="21"/>
                <w:highlight w:val="none"/>
              </w:rPr>
              <w:t>投标单位资信</w:t>
            </w:r>
          </w:p>
          <w:p w14:paraId="475B7E80">
            <w:pPr>
              <w:keepNext w:val="0"/>
              <w:keepLines w:val="0"/>
              <w:suppressLineNumbers w:val="0"/>
              <w:spacing w:before="0" w:beforeAutospacing="0" w:after="0" w:afterAutospacing="0"/>
              <w:ind w:left="0" w:right="0"/>
              <w:jc w:val="center"/>
              <w:rPr>
                <w:rFonts w:hint="eastAsia" w:ascii="宋体" w:cs="宋体"/>
                <w:color w:val="auto"/>
                <w:szCs w:val="21"/>
                <w:highlight w:val="none"/>
              </w:rPr>
            </w:pPr>
            <w:r>
              <w:rPr>
                <w:rFonts w:hint="eastAsia" w:ascii="宋体" w:hAnsi="宋体"/>
                <w:color w:val="auto"/>
                <w:szCs w:val="21"/>
                <w:highlight w:val="none"/>
              </w:rPr>
              <w:t>（6分）</w:t>
            </w:r>
          </w:p>
        </w:tc>
        <w:tc>
          <w:tcPr>
            <w:tcW w:w="7609" w:type="dxa"/>
            <w:vAlign w:val="center"/>
          </w:tcPr>
          <w:p w14:paraId="4E448A26">
            <w:pPr>
              <w:keepNext w:val="0"/>
              <w:keepLines w:val="0"/>
              <w:suppressLineNumbers w:val="0"/>
              <w:spacing w:before="0" w:beforeAutospacing="0" w:after="0" w:afterAutospacing="0" w:line="360" w:lineRule="auto"/>
              <w:ind w:left="0" w:right="0"/>
              <w:rPr>
                <w:rFonts w:hint="eastAsia" w:ascii="宋体" w:cs="宋体"/>
                <w:color w:val="auto"/>
                <w:szCs w:val="21"/>
                <w:highlight w:val="none"/>
              </w:rPr>
            </w:pPr>
            <w:r>
              <w:rPr>
                <w:rFonts w:hint="eastAsia" w:ascii="宋体" w:hAnsi="宋体"/>
                <w:color w:val="auto"/>
                <w:szCs w:val="21"/>
                <w:highlight w:val="none"/>
              </w:rPr>
              <w:t>供应商提供有效期内的质量管理体系认证证书、环境管理体系认证证书、职业健康安全管理体系认证证书认证，每提供一项得2分，满分6分。（提供证书复印件加盖供应商公章，原件备查）</w:t>
            </w:r>
          </w:p>
        </w:tc>
      </w:tr>
      <w:tr w14:paraId="1C2A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469" w:type="dxa"/>
            <w:gridSpan w:val="2"/>
            <w:vAlign w:val="center"/>
          </w:tcPr>
          <w:p w14:paraId="597D2CD4">
            <w:pPr>
              <w:keepNext w:val="0"/>
              <w:keepLines w:val="0"/>
              <w:suppressLineNumbers w:val="0"/>
              <w:spacing w:before="0" w:beforeAutospacing="0" w:after="0" w:afterAutospacing="0"/>
              <w:ind w:left="0" w:right="0"/>
              <w:jc w:val="center"/>
              <w:rPr>
                <w:rFonts w:hint="eastAsia" w:ascii="宋体" w:cs="宋体"/>
                <w:color w:val="auto"/>
                <w:highlight w:val="none"/>
              </w:rPr>
            </w:pPr>
            <w:r>
              <w:rPr>
                <w:rFonts w:hint="eastAsia" w:ascii="宋体" w:hAnsi="宋体" w:cs="宋体"/>
                <w:color w:val="auto"/>
                <w:highlight w:val="none"/>
              </w:rPr>
              <w:t>总 分（100分）</w:t>
            </w:r>
          </w:p>
        </w:tc>
      </w:tr>
    </w:tbl>
    <w:p w14:paraId="6BAD995A">
      <w:pPr>
        <w:pStyle w:val="58"/>
        <w:wordWrap w:val="0"/>
        <w:spacing w:line="360" w:lineRule="auto"/>
        <w:ind w:firstLine="0" w:firstLineChars="0"/>
        <w:jc w:val="left"/>
        <w:rPr>
          <w:rFonts w:hint="eastAsia" w:hAnsi="宋体" w:cs="宋体"/>
          <w:color w:val="auto"/>
          <w:szCs w:val="21"/>
          <w:highlight w:val="none"/>
        </w:rPr>
      </w:pPr>
      <w:r>
        <w:rPr>
          <w:rFonts w:hint="eastAsia" w:hAnsi="宋体" w:cs="宋体"/>
          <w:color w:val="auto"/>
          <w:szCs w:val="21"/>
          <w:highlight w:val="none"/>
        </w:rPr>
        <w:t>注：</w:t>
      </w:r>
    </w:p>
    <w:p w14:paraId="4C662CE4">
      <w:pPr>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1、评分标准中要求提供</w:t>
      </w:r>
      <w:r>
        <w:rPr>
          <w:rFonts w:hint="eastAsia" w:hAnsi="宋体" w:cs="宋体"/>
          <w:b/>
          <w:bCs/>
          <w:color w:val="auto"/>
          <w:szCs w:val="21"/>
          <w:highlight w:val="none"/>
        </w:rPr>
        <w:t>原件备查</w:t>
      </w:r>
      <w:r>
        <w:rPr>
          <w:rFonts w:hint="eastAsia" w:hAnsi="宋体" w:cs="宋体"/>
          <w:color w:val="auto"/>
          <w:szCs w:val="21"/>
          <w:highlight w:val="none"/>
        </w:rPr>
        <w:t>的，</w:t>
      </w:r>
      <w:r>
        <w:rPr>
          <w:rFonts w:hint="eastAsia" w:hAnsi="宋体" w:cs="宋体"/>
          <w:b/>
          <w:bCs/>
          <w:color w:val="auto"/>
          <w:szCs w:val="21"/>
          <w:highlight w:val="none"/>
        </w:rPr>
        <w:t>必须提供相关原件，否则与之对应项不得分</w:t>
      </w:r>
      <w:r>
        <w:rPr>
          <w:rFonts w:hint="eastAsia" w:hAnsi="宋体" w:cs="宋体"/>
          <w:color w:val="auto"/>
          <w:szCs w:val="21"/>
          <w:highlight w:val="none"/>
        </w:rPr>
        <w:t>。</w:t>
      </w:r>
    </w:p>
    <w:p w14:paraId="0F6622FA">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2、提供的材料中涉及评标的相关数据不一致的，以数额较小的为准。上述工程不是供应商承接的工程，不予计分。</w:t>
      </w:r>
    </w:p>
    <w:p w14:paraId="294F497D">
      <w:pPr>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3、响应文件的正本和副本中均需提供相关原件的复印件加盖供应商公章。</w:t>
      </w:r>
    </w:p>
    <w:p w14:paraId="4DBF4F2F">
      <w:pPr>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4、若发现有提供虚假的证明材料，视为无效响应，追究相关责任。</w:t>
      </w:r>
    </w:p>
    <w:p w14:paraId="2D845DF0">
      <w:pPr>
        <w:pStyle w:val="11"/>
        <w:spacing w:before="0" w:after="0" w:line="360" w:lineRule="auto"/>
        <w:jc w:val="center"/>
        <w:rPr>
          <w:rFonts w:hint="eastAsia" w:ascii="宋体" w:hAnsi="宋体" w:eastAsia="宋体" w:cs="Arial"/>
          <w:bCs/>
          <w:color w:val="auto"/>
          <w:szCs w:val="44"/>
          <w:highlight w:val="none"/>
        </w:rPr>
      </w:pPr>
      <w:r>
        <w:rPr>
          <w:rFonts w:ascii="宋体" w:hAnsi="宋体" w:eastAsia="宋体" w:cs="Arial"/>
          <w:bCs/>
          <w:color w:val="auto"/>
          <w:szCs w:val="44"/>
          <w:highlight w:val="none"/>
        </w:rPr>
        <w:br w:type="page"/>
      </w:r>
      <w:r>
        <w:rPr>
          <w:rFonts w:hint="eastAsia" w:ascii="宋体" w:hAnsi="宋体" w:eastAsia="宋体" w:cs="Arial"/>
          <w:bCs/>
          <w:color w:val="auto"/>
          <w:szCs w:val="44"/>
          <w:highlight w:val="none"/>
        </w:rPr>
        <w:t>第六章  竞争性磋商响应文件格式</w:t>
      </w:r>
    </w:p>
    <w:p w14:paraId="76080E90">
      <w:pPr>
        <w:pStyle w:val="11"/>
        <w:spacing w:before="0" w:after="0" w:line="360" w:lineRule="auto"/>
        <w:rPr>
          <w:rFonts w:hint="eastAsia" w:ascii="宋体" w:hAnsi="宋体" w:eastAsia="宋体" w:cs="Arial"/>
          <w:bCs/>
          <w:color w:val="auto"/>
          <w:szCs w:val="44"/>
          <w:highlight w:val="none"/>
        </w:rPr>
      </w:pPr>
    </w:p>
    <w:p w14:paraId="6CA9AE05">
      <w:pPr>
        <w:pStyle w:val="11"/>
        <w:spacing w:before="0" w:after="0" w:line="360" w:lineRule="auto"/>
        <w:rPr>
          <w:rFonts w:hint="eastAsia" w:ascii="宋体" w:hAnsi="宋体" w:eastAsia="宋体" w:cs="Arial"/>
          <w:bCs/>
          <w:color w:val="auto"/>
          <w:szCs w:val="44"/>
          <w:highlight w:val="none"/>
        </w:rPr>
      </w:pPr>
      <w:r>
        <w:rPr>
          <w:rFonts w:hint="eastAsia" w:ascii="宋体" w:hAnsi="宋体" w:eastAsia="宋体" w:cs="Arial"/>
          <w:bCs/>
          <w:color w:val="auto"/>
          <w:szCs w:val="44"/>
          <w:highlight w:val="none"/>
        </w:rPr>
        <w:t xml:space="preserve"> </w:t>
      </w:r>
    </w:p>
    <w:p w14:paraId="23566628">
      <w:pPr>
        <w:pStyle w:val="11"/>
        <w:spacing w:before="0" w:after="0" w:line="360" w:lineRule="auto"/>
        <w:jc w:val="center"/>
        <w:rPr>
          <w:rFonts w:hint="eastAsia" w:ascii="宋体" w:hAnsi="宋体" w:eastAsia="宋体" w:cs="Arial"/>
          <w:bCs/>
          <w:color w:val="auto"/>
          <w:szCs w:val="44"/>
          <w:highlight w:val="none"/>
        </w:rPr>
      </w:pPr>
    </w:p>
    <w:p w14:paraId="73496F1F">
      <w:pPr>
        <w:pStyle w:val="11"/>
        <w:spacing w:before="0" w:after="0" w:line="360" w:lineRule="auto"/>
        <w:jc w:val="center"/>
        <w:rPr>
          <w:rFonts w:hint="eastAsia" w:ascii="宋体" w:hAnsi="宋体" w:eastAsia="宋体" w:cs="Arial"/>
          <w:bCs/>
          <w:color w:val="auto"/>
          <w:szCs w:val="44"/>
          <w:highlight w:val="none"/>
        </w:rPr>
      </w:pPr>
    </w:p>
    <w:p w14:paraId="4F520FEB">
      <w:pPr>
        <w:pStyle w:val="11"/>
        <w:spacing w:before="0" w:after="0" w:line="360" w:lineRule="auto"/>
        <w:jc w:val="center"/>
        <w:rPr>
          <w:rFonts w:hint="eastAsia" w:ascii="宋体" w:hAnsi="宋体" w:eastAsia="宋体" w:cs="Arial"/>
          <w:bCs/>
          <w:color w:val="auto"/>
          <w:szCs w:val="44"/>
          <w:highlight w:val="none"/>
        </w:rPr>
      </w:pPr>
    </w:p>
    <w:p w14:paraId="72F8A8AF">
      <w:pPr>
        <w:pStyle w:val="11"/>
        <w:spacing w:before="0" w:after="0" w:line="360" w:lineRule="auto"/>
        <w:jc w:val="center"/>
        <w:rPr>
          <w:rFonts w:hint="eastAsia" w:ascii="宋体" w:hAnsi="宋体" w:eastAsia="宋体" w:cs="Arial"/>
          <w:bCs/>
          <w:color w:val="auto"/>
          <w:szCs w:val="44"/>
          <w:highlight w:val="none"/>
        </w:rPr>
      </w:pPr>
      <w:r>
        <w:rPr>
          <w:rFonts w:hint="eastAsia" w:ascii="宋体" w:hAnsi="宋体" w:eastAsia="宋体" w:cs="Arial"/>
          <w:bCs/>
          <w:color w:val="auto"/>
          <w:szCs w:val="44"/>
          <w:highlight w:val="none"/>
        </w:rPr>
        <w:t>竞争性磋商响应文件</w:t>
      </w:r>
    </w:p>
    <w:p w14:paraId="295F3165">
      <w:pPr>
        <w:pStyle w:val="11"/>
        <w:spacing w:before="0" w:after="0" w:line="360" w:lineRule="auto"/>
        <w:jc w:val="center"/>
        <w:rPr>
          <w:rFonts w:hint="eastAsia" w:ascii="宋体" w:hAnsi="宋体" w:eastAsia="宋体" w:cs="Arial"/>
          <w:bCs/>
          <w:color w:val="auto"/>
          <w:szCs w:val="44"/>
          <w:highlight w:val="none"/>
        </w:rPr>
      </w:pPr>
    </w:p>
    <w:p w14:paraId="77B31261">
      <w:pPr>
        <w:pStyle w:val="11"/>
        <w:spacing w:before="0" w:after="0" w:line="360" w:lineRule="auto"/>
        <w:jc w:val="both"/>
        <w:rPr>
          <w:rFonts w:hint="eastAsia" w:ascii="宋体" w:hAnsi="宋体" w:eastAsia="宋体" w:cs="Arial"/>
          <w:bCs/>
          <w:color w:val="auto"/>
          <w:szCs w:val="44"/>
          <w:highlight w:val="none"/>
        </w:rPr>
      </w:pPr>
    </w:p>
    <w:p w14:paraId="4CF62D60">
      <w:pPr>
        <w:pStyle w:val="11"/>
        <w:spacing w:before="0" w:after="0" w:line="360" w:lineRule="auto"/>
        <w:jc w:val="center"/>
        <w:rPr>
          <w:rFonts w:hint="eastAsia" w:ascii="宋体" w:hAnsi="宋体" w:eastAsia="宋体" w:cs="Arial"/>
          <w:bCs/>
          <w:color w:val="auto"/>
          <w:szCs w:val="44"/>
          <w:highlight w:val="none"/>
        </w:rPr>
      </w:pPr>
      <w:r>
        <w:rPr>
          <w:rFonts w:hint="eastAsia" w:ascii="宋体" w:hAnsi="宋体" w:eastAsia="宋体" w:cs="Arial"/>
          <w:bCs/>
          <w:color w:val="auto"/>
          <w:szCs w:val="44"/>
          <w:highlight w:val="none"/>
        </w:rPr>
        <w:t>（正本或副本）</w:t>
      </w:r>
    </w:p>
    <w:p w14:paraId="155E2903">
      <w:pPr>
        <w:pStyle w:val="11"/>
        <w:spacing w:before="0" w:after="0" w:line="360" w:lineRule="auto"/>
        <w:rPr>
          <w:rFonts w:hint="eastAsia" w:ascii="宋体" w:hAnsi="宋体" w:eastAsia="宋体" w:cs="Arial"/>
          <w:bCs/>
          <w:color w:val="auto"/>
          <w:szCs w:val="44"/>
          <w:highlight w:val="none"/>
        </w:rPr>
      </w:pPr>
    </w:p>
    <w:p w14:paraId="756B6DB2">
      <w:pPr>
        <w:pStyle w:val="11"/>
        <w:spacing w:before="0" w:after="0" w:line="360" w:lineRule="auto"/>
        <w:rPr>
          <w:rFonts w:hint="eastAsia" w:ascii="宋体" w:hAnsi="宋体" w:eastAsia="宋体" w:cs="Arial"/>
          <w:bCs/>
          <w:color w:val="auto"/>
          <w:szCs w:val="44"/>
          <w:highlight w:val="none"/>
        </w:rPr>
      </w:pPr>
    </w:p>
    <w:p w14:paraId="4FB3AC7D">
      <w:pPr>
        <w:pStyle w:val="12"/>
        <w:rPr>
          <w:rFonts w:hint="eastAsia" w:ascii="宋体" w:hAnsi="宋体" w:eastAsia="宋体" w:cs="Arial"/>
          <w:bCs/>
          <w:color w:val="auto"/>
          <w:szCs w:val="44"/>
          <w:highlight w:val="none"/>
        </w:rPr>
      </w:pPr>
    </w:p>
    <w:p w14:paraId="0B0A36F6">
      <w:pPr>
        <w:pStyle w:val="12"/>
        <w:rPr>
          <w:rFonts w:hint="eastAsia" w:ascii="宋体" w:hAnsi="宋体" w:eastAsia="宋体" w:cs="Arial"/>
          <w:bCs/>
          <w:color w:val="auto"/>
          <w:szCs w:val="44"/>
          <w:highlight w:val="none"/>
        </w:rPr>
      </w:pPr>
    </w:p>
    <w:p w14:paraId="380E96F4">
      <w:pPr>
        <w:pStyle w:val="12"/>
        <w:rPr>
          <w:rFonts w:hint="eastAsia" w:ascii="宋体" w:hAnsi="宋体" w:eastAsia="宋体" w:cs="Arial"/>
          <w:bCs/>
          <w:color w:val="auto"/>
          <w:szCs w:val="44"/>
          <w:highlight w:val="none"/>
        </w:rPr>
      </w:pPr>
    </w:p>
    <w:p w14:paraId="755E0EEC">
      <w:pPr>
        <w:pStyle w:val="12"/>
        <w:rPr>
          <w:rFonts w:hint="eastAsia" w:ascii="宋体" w:hAnsi="宋体" w:eastAsia="宋体" w:cs="Arial"/>
          <w:bCs/>
          <w:color w:val="auto"/>
          <w:szCs w:val="44"/>
          <w:highlight w:val="none"/>
        </w:rPr>
      </w:pPr>
    </w:p>
    <w:p w14:paraId="62E31790">
      <w:pPr>
        <w:pStyle w:val="12"/>
        <w:rPr>
          <w:rFonts w:hint="eastAsia" w:ascii="宋体" w:hAnsi="宋体" w:eastAsia="宋体" w:cs="Arial"/>
          <w:bCs/>
          <w:color w:val="auto"/>
          <w:szCs w:val="44"/>
          <w:highlight w:val="none"/>
        </w:rPr>
      </w:pPr>
    </w:p>
    <w:p w14:paraId="7C319557">
      <w:pPr>
        <w:pStyle w:val="12"/>
        <w:rPr>
          <w:rFonts w:hint="eastAsia" w:ascii="宋体" w:hAnsi="宋体" w:eastAsia="宋体" w:cs="Arial"/>
          <w:bCs/>
          <w:color w:val="auto"/>
          <w:szCs w:val="44"/>
          <w:highlight w:val="none"/>
        </w:rPr>
      </w:pPr>
    </w:p>
    <w:p w14:paraId="74906076">
      <w:pPr>
        <w:pStyle w:val="12"/>
        <w:rPr>
          <w:rFonts w:hint="eastAsia" w:ascii="宋体" w:hAnsi="宋体" w:eastAsia="宋体" w:cs="Arial"/>
          <w:bCs/>
          <w:color w:val="auto"/>
          <w:szCs w:val="44"/>
          <w:highlight w:val="none"/>
        </w:rPr>
      </w:pPr>
    </w:p>
    <w:p w14:paraId="47CC4C4F">
      <w:pPr>
        <w:pStyle w:val="12"/>
        <w:rPr>
          <w:rFonts w:hint="eastAsia" w:ascii="宋体" w:hAnsi="宋体" w:eastAsia="宋体" w:cs="Arial"/>
          <w:bCs/>
          <w:color w:val="auto"/>
          <w:szCs w:val="44"/>
          <w:highlight w:val="none"/>
        </w:rPr>
      </w:pPr>
    </w:p>
    <w:p w14:paraId="13F88EA6">
      <w:pPr>
        <w:pStyle w:val="12"/>
        <w:rPr>
          <w:rFonts w:hint="eastAsia" w:ascii="宋体" w:hAnsi="宋体" w:eastAsia="宋体" w:cs="Arial"/>
          <w:bCs/>
          <w:color w:val="auto"/>
          <w:szCs w:val="44"/>
          <w:highlight w:val="none"/>
        </w:rPr>
      </w:pPr>
    </w:p>
    <w:p w14:paraId="06271443">
      <w:pPr>
        <w:pStyle w:val="12"/>
        <w:rPr>
          <w:rFonts w:hint="eastAsia" w:ascii="宋体" w:hAnsi="宋体" w:eastAsia="宋体" w:cs="Arial"/>
          <w:bCs/>
          <w:color w:val="auto"/>
          <w:szCs w:val="44"/>
          <w:highlight w:val="none"/>
        </w:rPr>
      </w:pPr>
    </w:p>
    <w:p w14:paraId="46E78D2D">
      <w:pPr>
        <w:pStyle w:val="11"/>
        <w:spacing w:before="0" w:after="0" w:line="360" w:lineRule="auto"/>
        <w:ind w:firstLine="964" w:firstLineChars="300"/>
        <w:jc w:val="left"/>
        <w:rPr>
          <w:rFonts w:hint="eastAsia" w:ascii="宋体" w:hAnsi="宋体" w:eastAsia="宋体" w:cs="Arial"/>
          <w:bCs/>
          <w:color w:val="auto"/>
          <w:sz w:val="32"/>
          <w:szCs w:val="32"/>
          <w:highlight w:val="none"/>
        </w:rPr>
      </w:pPr>
      <w:r>
        <w:rPr>
          <w:rFonts w:hint="eastAsia" w:ascii="宋体" w:hAnsi="宋体" w:eastAsia="宋体" w:cs="Arial"/>
          <w:bCs/>
          <w:color w:val="auto"/>
          <w:sz w:val="32"/>
          <w:szCs w:val="32"/>
          <w:highlight w:val="none"/>
        </w:rPr>
        <w:t>项目名称：</w:t>
      </w:r>
    </w:p>
    <w:p w14:paraId="6EF6C4B9">
      <w:pPr>
        <w:pStyle w:val="11"/>
        <w:spacing w:before="0" w:after="0" w:line="360" w:lineRule="auto"/>
        <w:ind w:firstLine="993" w:firstLineChars="309"/>
        <w:jc w:val="left"/>
        <w:rPr>
          <w:rFonts w:hint="eastAsia" w:ascii="宋体" w:hAnsi="宋体" w:eastAsia="宋体" w:cs="Arial"/>
          <w:bCs/>
          <w:color w:val="auto"/>
          <w:sz w:val="32"/>
          <w:szCs w:val="32"/>
          <w:highlight w:val="none"/>
        </w:rPr>
      </w:pPr>
      <w:r>
        <w:rPr>
          <w:rFonts w:hint="eastAsia" w:ascii="宋体" w:hAnsi="宋体" w:eastAsia="宋体" w:cs="Arial"/>
          <w:bCs/>
          <w:color w:val="auto"/>
          <w:sz w:val="32"/>
          <w:szCs w:val="32"/>
          <w:highlight w:val="none"/>
        </w:rPr>
        <w:t>项目编号：</w:t>
      </w:r>
    </w:p>
    <w:p w14:paraId="094C17EB">
      <w:pPr>
        <w:pStyle w:val="11"/>
        <w:spacing w:before="0" w:after="0" w:line="360" w:lineRule="auto"/>
        <w:ind w:firstLine="993" w:firstLineChars="309"/>
        <w:jc w:val="left"/>
        <w:rPr>
          <w:rFonts w:hint="eastAsia" w:ascii="宋体" w:hAnsi="宋体" w:eastAsia="宋体" w:cs="Arial"/>
          <w:bCs/>
          <w:color w:val="auto"/>
          <w:sz w:val="32"/>
          <w:szCs w:val="32"/>
          <w:highlight w:val="none"/>
        </w:rPr>
      </w:pPr>
      <w:r>
        <w:rPr>
          <w:rFonts w:hint="eastAsia" w:ascii="宋体" w:hAnsi="宋体" w:eastAsia="宋体" w:cs="Arial"/>
          <w:bCs/>
          <w:color w:val="auto"/>
          <w:sz w:val="32"/>
          <w:szCs w:val="32"/>
          <w:highlight w:val="none"/>
        </w:rPr>
        <w:t xml:space="preserve">磋商供应商名称：               </w:t>
      </w:r>
    </w:p>
    <w:p w14:paraId="5C6494D1">
      <w:pPr>
        <w:pStyle w:val="11"/>
        <w:spacing w:before="0" w:after="0" w:line="360" w:lineRule="auto"/>
        <w:ind w:firstLine="993" w:firstLineChars="309"/>
        <w:jc w:val="left"/>
        <w:rPr>
          <w:rFonts w:hint="eastAsia" w:ascii="宋体" w:hAnsi="宋体" w:eastAsia="宋体" w:cs="Arial"/>
          <w:bCs/>
          <w:color w:val="auto"/>
          <w:sz w:val="32"/>
          <w:szCs w:val="32"/>
          <w:highlight w:val="none"/>
        </w:rPr>
      </w:pPr>
      <w:r>
        <w:rPr>
          <w:rFonts w:hint="eastAsia" w:ascii="宋体" w:hAnsi="宋体" w:eastAsia="宋体" w:cs="Arial"/>
          <w:bCs/>
          <w:color w:val="auto"/>
          <w:sz w:val="32"/>
          <w:szCs w:val="32"/>
          <w:highlight w:val="none"/>
        </w:rPr>
        <w:t>日期：</w:t>
      </w:r>
    </w:p>
    <w:p w14:paraId="2089A17C">
      <w:pPr>
        <w:pStyle w:val="11"/>
        <w:spacing w:before="0" w:after="0" w:line="360" w:lineRule="auto"/>
        <w:rPr>
          <w:rFonts w:hint="eastAsia" w:ascii="宋体" w:hAnsi="宋体" w:eastAsia="宋体" w:cs="Arial"/>
          <w:bCs/>
          <w:color w:val="auto"/>
          <w:szCs w:val="44"/>
          <w:highlight w:val="none"/>
        </w:rPr>
      </w:pPr>
    </w:p>
    <w:p w14:paraId="6185E37B">
      <w:pPr>
        <w:pStyle w:val="11"/>
        <w:spacing w:before="0" w:after="0" w:line="360" w:lineRule="auto"/>
        <w:rPr>
          <w:rFonts w:hint="eastAsia" w:ascii="宋体" w:hAnsi="宋体" w:eastAsia="宋体" w:cs="Arial"/>
          <w:bCs/>
          <w:color w:val="auto"/>
          <w:szCs w:val="44"/>
          <w:highlight w:val="none"/>
        </w:rPr>
      </w:pPr>
    </w:p>
    <w:p w14:paraId="12FEF92F">
      <w:pPr>
        <w:pStyle w:val="11"/>
        <w:spacing w:before="0" w:after="0" w:line="360" w:lineRule="auto"/>
        <w:rPr>
          <w:rFonts w:hint="eastAsia" w:ascii="宋体" w:hAnsi="宋体" w:eastAsia="宋体" w:cs="Arial"/>
          <w:bCs/>
          <w:color w:val="auto"/>
          <w:szCs w:val="44"/>
          <w:highlight w:val="none"/>
        </w:rPr>
      </w:pPr>
    </w:p>
    <w:p w14:paraId="3F8C93DD">
      <w:pPr>
        <w:pStyle w:val="11"/>
        <w:spacing w:before="0" w:after="0" w:line="360" w:lineRule="auto"/>
        <w:jc w:val="center"/>
        <w:rPr>
          <w:rFonts w:ascii="宋体" w:hAnsi="宋体" w:eastAsia="宋体"/>
          <w:color w:val="auto"/>
          <w:sz w:val="28"/>
          <w:szCs w:val="28"/>
          <w:highlight w:val="none"/>
        </w:rPr>
      </w:pPr>
      <w:r>
        <w:rPr>
          <w:rFonts w:ascii="宋体" w:hAnsi="宋体" w:eastAsia="宋体" w:cs="Arial"/>
          <w:bCs/>
          <w:color w:val="auto"/>
          <w:szCs w:val="44"/>
          <w:highlight w:val="none"/>
        </w:rPr>
        <w:br w:type="page"/>
      </w:r>
      <w:bookmarkStart w:id="135" w:name="_Toc120614284"/>
      <w:bookmarkStart w:id="136" w:name="_Toc513029281"/>
      <w:bookmarkStart w:id="137" w:name="_Toc22356583"/>
      <w:bookmarkStart w:id="138" w:name="_Toc120614291"/>
      <w:bookmarkStart w:id="139" w:name="_Toc24878535"/>
      <w:bookmarkStart w:id="140" w:name="_Toc49090582"/>
      <w:bookmarkStart w:id="141" w:name="_Toc26554103"/>
      <w:bookmarkStart w:id="142" w:name="_Toc23828483"/>
      <w:r>
        <w:rPr>
          <w:rFonts w:hint="eastAsia" w:ascii="宋体" w:hAnsi="宋体" w:eastAsia="宋体"/>
          <w:color w:val="auto"/>
          <w:sz w:val="28"/>
          <w:szCs w:val="28"/>
          <w:highlight w:val="none"/>
        </w:rPr>
        <w:t>评分索引表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5EF8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top"/>
          </w:tcPr>
          <w:p w14:paraId="73C98E3D">
            <w:pPr>
              <w:pStyle w:val="65"/>
              <w:keepNext w:val="0"/>
              <w:keepLines w:val="0"/>
              <w:suppressLineNumbers w:val="0"/>
              <w:spacing w:before="0" w:beforeAutospacing="0" w:after="0" w:afterAutospacing="0" w:line="360" w:lineRule="auto"/>
              <w:ind w:left="0" w:right="0"/>
              <w:jc w:val="center"/>
              <w:rPr>
                <w:rFonts w:hint="eastAsia" w:ascii="宋体" w:hAnsi="宋体"/>
                <w:b/>
                <w:bCs/>
                <w:color w:val="auto"/>
                <w:sz w:val="21"/>
                <w:szCs w:val="21"/>
                <w:highlight w:val="none"/>
                <w:lang w:eastAsia="zh-CN"/>
              </w:rPr>
            </w:pPr>
            <w:r>
              <w:rPr>
                <w:rFonts w:hint="eastAsia" w:ascii="宋体" w:hAnsi="宋体"/>
                <w:b/>
                <w:color w:val="auto"/>
                <w:sz w:val="21"/>
                <w:szCs w:val="21"/>
                <w:highlight w:val="none"/>
              </w:rPr>
              <w:t>评分项目</w:t>
            </w:r>
          </w:p>
        </w:tc>
        <w:tc>
          <w:tcPr>
            <w:tcW w:w="3570" w:type="dxa"/>
            <w:vAlign w:val="top"/>
          </w:tcPr>
          <w:p w14:paraId="6DA0EB11">
            <w:pPr>
              <w:keepNext w:val="0"/>
              <w:keepLines w:val="0"/>
              <w:suppressLineNumbers w:val="0"/>
              <w:spacing w:before="0" w:beforeAutospacing="0" w:after="0" w:afterAutospacing="0" w:line="360" w:lineRule="auto"/>
              <w:ind w:left="0" w:right="0"/>
              <w:jc w:val="center"/>
              <w:rPr>
                <w:rFonts w:hint="eastAsia" w:ascii="宋体" w:hAnsi="宋体"/>
                <w:b/>
                <w:color w:val="auto"/>
                <w:szCs w:val="21"/>
                <w:highlight w:val="none"/>
              </w:rPr>
            </w:pPr>
            <w:r>
              <w:rPr>
                <w:rFonts w:hint="eastAsia" w:ascii="宋体" w:hAnsi="宋体"/>
                <w:b/>
                <w:color w:val="auto"/>
                <w:kern w:val="0"/>
                <w:szCs w:val="21"/>
                <w:highlight w:val="none"/>
                <w:lang w:bidi="en-US"/>
              </w:rPr>
              <w:t>在响应文件中的页码位置</w:t>
            </w:r>
          </w:p>
        </w:tc>
      </w:tr>
      <w:tr w14:paraId="75DAE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5670" w:type="dxa"/>
            <w:vAlign w:val="top"/>
          </w:tcPr>
          <w:p w14:paraId="20A7353A">
            <w:pPr>
              <w:pStyle w:val="65"/>
              <w:keepNext w:val="0"/>
              <w:keepLines w:val="0"/>
              <w:suppressLineNumbers w:val="0"/>
              <w:spacing w:before="0" w:beforeAutospacing="0" w:after="0" w:afterAutospacing="0" w:line="360" w:lineRule="auto"/>
              <w:ind w:left="0" w:right="0"/>
              <w:jc w:val="both"/>
              <w:rPr>
                <w:rFonts w:hint="eastAsia" w:ascii="宋体" w:hAnsi="宋体"/>
                <w:b/>
                <w:color w:val="auto"/>
                <w:sz w:val="21"/>
                <w:szCs w:val="21"/>
                <w:highlight w:val="none"/>
                <w:lang w:eastAsia="zh-CN"/>
              </w:rPr>
            </w:pPr>
          </w:p>
        </w:tc>
        <w:tc>
          <w:tcPr>
            <w:tcW w:w="3570" w:type="dxa"/>
            <w:vAlign w:val="top"/>
          </w:tcPr>
          <w:p w14:paraId="1ED72E1E">
            <w:pPr>
              <w:keepNext w:val="0"/>
              <w:keepLines w:val="0"/>
              <w:suppressLineNumbers w:val="0"/>
              <w:spacing w:before="0" w:beforeAutospacing="0" w:after="0" w:afterAutospacing="0" w:line="360" w:lineRule="auto"/>
              <w:ind w:left="0" w:right="0"/>
              <w:rPr>
                <w:rFonts w:hint="eastAsia" w:ascii="宋体" w:hAnsi="宋体"/>
                <w:b/>
                <w:color w:val="auto"/>
                <w:kern w:val="0"/>
                <w:szCs w:val="21"/>
                <w:highlight w:val="none"/>
                <w:lang w:bidi="en-US"/>
              </w:rPr>
            </w:pPr>
          </w:p>
        </w:tc>
      </w:tr>
      <w:tr w14:paraId="75A1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240" w:type="dxa"/>
            <w:gridSpan w:val="2"/>
            <w:vAlign w:val="top"/>
          </w:tcPr>
          <w:p w14:paraId="59FB2EDE">
            <w:pPr>
              <w:pStyle w:val="65"/>
              <w:keepNext w:val="0"/>
              <w:keepLines w:val="0"/>
              <w:suppressLineNumbers w:val="0"/>
              <w:spacing w:before="0" w:beforeAutospacing="0" w:after="0" w:afterAutospacing="0" w:line="360" w:lineRule="auto"/>
              <w:ind w:left="0" w:right="0"/>
              <w:jc w:val="both"/>
              <w:rPr>
                <w:rFonts w:hint="eastAsia" w:ascii="宋体" w:hAnsi="宋体"/>
                <w:color w:val="auto"/>
                <w:sz w:val="21"/>
                <w:szCs w:val="21"/>
                <w:highlight w:val="none"/>
                <w:lang w:eastAsia="zh-CN"/>
              </w:rPr>
            </w:pPr>
          </w:p>
        </w:tc>
      </w:tr>
      <w:tr w14:paraId="4070E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top"/>
          </w:tcPr>
          <w:p w14:paraId="0AA11A7A">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5A8F01E9">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603E4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top"/>
          </w:tcPr>
          <w:p w14:paraId="6A417D74">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4413FCEE">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1FF9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top"/>
          </w:tcPr>
          <w:p w14:paraId="621FF8EC">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5F49D736">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50132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top"/>
          </w:tcPr>
          <w:p w14:paraId="2A3CBC25">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2623ED9F">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11115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top"/>
          </w:tcPr>
          <w:p w14:paraId="33681526">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259A69DC">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074E5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9240" w:type="dxa"/>
            <w:gridSpan w:val="2"/>
            <w:vAlign w:val="top"/>
          </w:tcPr>
          <w:p w14:paraId="74CE3850">
            <w:pPr>
              <w:pStyle w:val="65"/>
              <w:keepNext w:val="0"/>
              <w:keepLines w:val="0"/>
              <w:suppressLineNumbers w:val="0"/>
              <w:spacing w:before="0" w:beforeAutospacing="0" w:after="0" w:afterAutospacing="0" w:line="360" w:lineRule="auto"/>
              <w:ind w:left="0" w:right="0"/>
              <w:jc w:val="both"/>
              <w:rPr>
                <w:rFonts w:hint="eastAsia" w:ascii="宋体" w:hAnsi="宋体"/>
                <w:color w:val="auto"/>
                <w:sz w:val="21"/>
                <w:szCs w:val="21"/>
                <w:highlight w:val="none"/>
                <w:lang w:eastAsia="zh-CN"/>
              </w:rPr>
            </w:pPr>
          </w:p>
        </w:tc>
      </w:tr>
      <w:tr w14:paraId="7D2B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670" w:type="dxa"/>
            <w:vAlign w:val="top"/>
          </w:tcPr>
          <w:p w14:paraId="5F94624B">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2A15DA5D">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603F7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5670" w:type="dxa"/>
            <w:vAlign w:val="top"/>
          </w:tcPr>
          <w:p w14:paraId="444E0131">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7AB0638D">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539EA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5670" w:type="dxa"/>
            <w:vAlign w:val="top"/>
          </w:tcPr>
          <w:p w14:paraId="0B584CEA">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3AA344B8">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66BF9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5670" w:type="dxa"/>
            <w:vAlign w:val="top"/>
          </w:tcPr>
          <w:p w14:paraId="58059D02">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2BF7BCF0">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4F939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70" w:type="dxa"/>
            <w:vAlign w:val="top"/>
          </w:tcPr>
          <w:p w14:paraId="6C5FCDF7">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6FB8FE35">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188EA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9240" w:type="dxa"/>
            <w:gridSpan w:val="2"/>
            <w:vAlign w:val="top"/>
          </w:tcPr>
          <w:p w14:paraId="52ACE555">
            <w:pPr>
              <w:pStyle w:val="65"/>
              <w:keepNext w:val="0"/>
              <w:keepLines w:val="0"/>
              <w:suppressLineNumbers w:val="0"/>
              <w:spacing w:before="0" w:beforeAutospacing="0" w:after="0" w:afterAutospacing="0" w:line="360" w:lineRule="auto"/>
              <w:ind w:left="0" w:right="0"/>
              <w:jc w:val="both"/>
              <w:rPr>
                <w:rFonts w:hint="eastAsia" w:ascii="宋体" w:hAnsi="宋体"/>
                <w:b/>
                <w:color w:val="auto"/>
                <w:sz w:val="21"/>
                <w:szCs w:val="21"/>
                <w:highlight w:val="none"/>
                <w:lang w:eastAsia="zh-CN"/>
              </w:rPr>
            </w:pPr>
          </w:p>
        </w:tc>
      </w:tr>
      <w:tr w14:paraId="6B479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top"/>
          </w:tcPr>
          <w:p w14:paraId="7CB7E0CC">
            <w:pPr>
              <w:pStyle w:val="65"/>
              <w:keepNext w:val="0"/>
              <w:keepLines w:val="0"/>
              <w:suppressLineNumbers w:val="0"/>
              <w:spacing w:before="0" w:beforeAutospacing="0" w:after="0" w:afterAutospacing="0" w:line="360" w:lineRule="auto"/>
              <w:ind w:left="0" w:right="0"/>
              <w:rPr>
                <w:rFonts w:hint="eastAsia" w:ascii="宋体" w:hAnsi="宋体"/>
                <w:b/>
                <w:bCs/>
                <w:color w:val="auto"/>
                <w:sz w:val="21"/>
                <w:szCs w:val="21"/>
                <w:highlight w:val="none"/>
                <w:lang w:eastAsia="zh-CN"/>
              </w:rPr>
            </w:pPr>
          </w:p>
        </w:tc>
        <w:tc>
          <w:tcPr>
            <w:tcW w:w="3570" w:type="dxa"/>
            <w:vAlign w:val="top"/>
          </w:tcPr>
          <w:p w14:paraId="353F113D">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26739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top"/>
          </w:tcPr>
          <w:p w14:paraId="0DF464BA">
            <w:pPr>
              <w:pStyle w:val="65"/>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lang w:eastAsia="zh-CN"/>
              </w:rPr>
            </w:pPr>
          </w:p>
        </w:tc>
        <w:tc>
          <w:tcPr>
            <w:tcW w:w="3570" w:type="dxa"/>
            <w:vAlign w:val="top"/>
          </w:tcPr>
          <w:p w14:paraId="3A65B03F">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056B1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top"/>
          </w:tcPr>
          <w:p w14:paraId="02466A33">
            <w:pPr>
              <w:pStyle w:val="65"/>
              <w:keepNext w:val="0"/>
              <w:keepLines w:val="0"/>
              <w:suppressLineNumbers w:val="0"/>
              <w:spacing w:before="0" w:beforeAutospacing="0" w:after="0" w:afterAutospacing="0" w:line="360" w:lineRule="auto"/>
              <w:ind w:left="0" w:right="0"/>
              <w:rPr>
                <w:rFonts w:hint="eastAsia" w:ascii="宋体" w:hAnsi="宋体"/>
                <w:b/>
                <w:bCs/>
                <w:color w:val="auto"/>
                <w:sz w:val="21"/>
                <w:szCs w:val="21"/>
                <w:highlight w:val="none"/>
                <w:lang w:eastAsia="zh-CN"/>
              </w:rPr>
            </w:pPr>
          </w:p>
        </w:tc>
        <w:tc>
          <w:tcPr>
            <w:tcW w:w="3570" w:type="dxa"/>
            <w:vAlign w:val="top"/>
          </w:tcPr>
          <w:p w14:paraId="0C0399B7">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126EF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9240" w:type="dxa"/>
            <w:gridSpan w:val="2"/>
            <w:vAlign w:val="top"/>
          </w:tcPr>
          <w:p w14:paraId="3B658D44">
            <w:pPr>
              <w:pStyle w:val="65"/>
              <w:keepNext w:val="0"/>
              <w:keepLines w:val="0"/>
              <w:suppressLineNumbers w:val="0"/>
              <w:spacing w:before="0" w:beforeAutospacing="0" w:after="0" w:afterAutospacing="0" w:line="360" w:lineRule="auto"/>
              <w:ind w:left="0" w:right="0"/>
              <w:jc w:val="both"/>
              <w:rPr>
                <w:rFonts w:hint="eastAsia" w:ascii="宋体" w:hAnsi="宋体"/>
                <w:b/>
                <w:color w:val="auto"/>
                <w:sz w:val="21"/>
                <w:szCs w:val="21"/>
                <w:highlight w:val="none"/>
                <w:lang w:eastAsia="zh-CN"/>
              </w:rPr>
            </w:pPr>
          </w:p>
        </w:tc>
      </w:tr>
      <w:tr w14:paraId="194D9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5670" w:type="dxa"/>
            <w:vAlign w:val="top"/>
          </w:tcPr>
          <w:p w14:paraId="3CE71EAA">
            <w:pPr>
              <w:pStyle w:val="65"/>
              <w:keepNext w:val="0"/>
              <w:keepLines w:val="0"/>
              <w:suppressLineNumbers w:val="0"/>
              <w:spacing w:before="0" w:beforeAutospacing="0" w:after="0" w:afterAutospacing="0" w:line="360" w:lineRule="auto"/>
              <w:ind w:left="0" w:right="0" w:firstLine="420" w:firstLineChars="200"/>
              <w:rPr>
                <w:rFonts w:hint="eastAsia" w:ascii="宋体" w:hAnsi="宋体"/>
                <w:color w:val="auto"/>
                <w:sz w:val="21"/>
                <w:szCs w:val="21"/>
                <w:highlight w:val="none"/>
                <w:lang w:eastAsia="zh-CN"/>
              </w:rPr>
            </w:pPr>
          </w:p>
        </w:tc>
        <w:tc>
          <w:tcPr>
            <w:tcW w:w="3570" w:type="dxa"/>
            <w:vAlign w:val="top"/>
          </w:tcPr>
          <w:p w14:paraId="126E831F">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019B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vAlign w:val="top"/>
          </w:tcPr>
          <w:p w14:paraId="45CF4CAA">
            <w:pPr>
              <w:pStyle w:val="65"/>
              <w:keepNext w:val="0"/>
              <w:keepLines w:val="0"/>
              <w:suppressLineNumbers w:val="0"/>
              <w:spacing w:before="0" w:beforeAutospacing="0" w:after="0" w:afterAutospacing="0" w:line="360" w:lineRule="auto"/>
              <w:ind w:left="0" w:right="0" w:firstLine="420" w:firstLineChars="200"/>
              <w:rPr>
                <w:rFonts w:hint="eastAsia" w:ascii="宋体" w:hAnsi="宋体"/>
                <w:color w:val="auto"/>
                <w:sz w:val="21"/>
                <w:szCs w:val="21"/>
                <w:highlight w:val="none"/>
                <w:lang w:eastAsia="zh-CN"/>
              </w:rPr>
            </w:pPr>
          </w:p>
        </w:tc>
        <w:tc>
          <w:tcPr>
            <w:tcW w:w="3570" w:type="dxa"/>
            <w:tcBorders>
              <w:bottom w:val="single" w:color="auto" w:sz="4" w:space="0"/>
            </w:tcBorders>
            <w:vAlign w:val="top"/>
          </w:tcPr>
          <w:p w14:paraId="7ED17F4C">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bl>
    <w:p w14:paraId="10965352">
      <w:pPr>
        <w:spacing w:line="360" w:lineRule="auto"/>
        <w:rPr>
          <w:rFonts w:ascii="宋体" w:hAnsi="宋体"/>
          <w:color w:val="auto"/>
          <w:highlight w:val="none"/>
        </w:rPr>
      </w:pPr>
    </w:p>
    <w:p w14:paraId="13031152">
      <w:pPr>
        <w:spacing w:line="360" w:lineRule="auto"/>
        <w:jc w:val="center"/>
        <w:rPr>
          <w:rFonts w:hint="eastAsia" w:ascii="宋体" w:hAnsi="宋体" w:eastAsia="宋体" w:cs="宋体"/>
          <w:b/>
          <w:bCs/>
          <w:color w:val="auto"/>
          <w:szCs w:val="21"/>
          <w:highlight w:val="none"/>
        </w:rPr>
      </w:pPr>
      <w:r>
        <w:rPr>
          <w:rFonts w:ascii="宋体" w:hAnsi="宋体"/>
          <w:b/>
          <w:color w:val="auto"/>
          <w:sz w:val="32"/>
          <w:szCs w:val="32"/>
          <w:highlight w:val="none"/>
        </w:rPr>
        <w:br w:type="page"/>
      </w:r>
      <w:r>
        <w:rPr>
          <w:rFonts w:hint="eastAsia" w:ascii="宋体" w:hAnsi="宋体" w:eastAsia="宋体" w:cs="宋体"/>
          <w:b/>
          <w:bCs/>
          <w:color w:val="auto"/>
          <w:szCs w:val="21"/>
          <w:highlight w:val="none"/>
        </w:rPr>
        <w:t>响应文件主要目录</w:t>
      </w:r>
    </w:p>
    <w:p w14:paraId="4920DDFC">
      <w:pPr>
        <w:spacing w:line="360" w:lineRule="auto"/>
        <w:jc w:val="center"/>
        <w:rPr>
          <w:rFonts w:hint="eastAsia" w:ascii="宋体" w:hAnsi="宋体" w:eastAsia="宋体" w:cs="宋体"/>
          <w:b/>
          <w:bCs/>
          <w:color w:val="auto"/>
          <w:szCs w:val="21"/>
          <w:highlight w:val="none"/>
        </w:rPr>
      </w:pPr>
    </w:p>
    <w:p w14:paraId="5E3F1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一、资格性和符合性检查响应对照表</w:t>
      </w:r>
    </w:p>
    <w:p w14:paraId="6D03D769">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资信证明文件</w:t>
      </w:r>
    </w:p>
    <w:p w14:paraId="7083839F">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三、磋商响应函</w:t>
      </w:r>
    </w:p>
    <w:p w14:paraId="7A82B892">
      <w:pPr>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四、磋商响应报价表</w:t>
      </w:r>
    </w:p>
    <w:p w14:paraId="3533F587">
      <w:pPr>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cs="宋体"/>
          <w:color w:val="auto"/>
          <w:szCs w:val="21"/>
          <w:highlight w:val="none"/>
        </w:rPr>
        <w:t>响应偏离表</w:t>
      </w:r>
    </w:p>
    <w:p w14:paraId="24762875">
      <w:pPr>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六</w:t>
      </w:r>
      <w:r>
        <w:rPr>
          <w:rFonts w:hint="eastAsia" w:ascii="宋体" w:hAnsi="宋体" w:cs="宋体"/>
          <w:b/>
          <w:bCs/>
          <w:color w:val="auto"/>
          <w:szCs w:val="21"/>
          <w:highlight w:val="none"/>
        </w:rPr>
        <w:t>、</w:t>
      </w:r>
      <w:r>
        <w:rPr>
          <w:rFonts w:hint="eastAsia" w:ascii="宋体" w:hAnsi="宋体" w:cs="宋体"/>
          <w:color w:val="auto"/>
          <w:szCs w:val="21"/>
          <w:highlight w:val="none"/>
        </w:rPr>
        <w:t>项目养护方案</w:t>
      </w:r>
    </w:p>
    <w:p w14:paraId="4780E56D">
      <w:pPr>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w:t>
      </w:r>
      <w:r>
        <w:rPr>
          <w:rFonts w:hint="eastAsia" w:ascii="宋体" w:hAnsi="宋体" w:cs="宋体"/>
          <w:color w:val="auto"/>
          <w:szCs w:val="21"/>
          <w:highlight w:val="none"/>
          <w:lang w:eastAsia="zh-CN"/>
        </w:rPr>
        <w:t>其他</w:t>
      </w:r>
    </w:p>
    <w:p w14:paraId="6B0E463D">
      <w:pPr>
        <w:pStyle w:val="10"/>
        <w:keepLines w:val="0"/>
        <w:pageBreakBefore w:val="0"/>
        <w:widowControl w:val="0"/>
        <w:kinsoku/>
        <w:wordWrap/>
        <w:overflowPunct/>
        <w:topLinePunct w:val="0"/>
        <w:autoSpaceDE/>
        <w:autoSpaceDN/>
        <w:bidi w:val="0"/>
        <w:spacing w:line="360" w:lineRule="auto"/>
        <w:ind w:firstLine="56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p>
    <w:p w14:paraId="3014DCD4">
      <w:pPr>
        <w:pStyle w:val="10"/>
        <w:spacing w:line="360" w:lineRule="auto"/>
        <w:rPr>
          <w:rFonts w:hint="eastAsia"/>
          <w:color w:val="auto"/>
          <w:highlight w:val="none"/>
        </w:rPr>
      </w:pPr>
    </w:p>
    <w:p w14:paraId="6596AB58">
      <w:pPr>
        <w:pStyle w:val="10"/>
        <w:spacing w:line="360" w:lineRule="auto"/>
        <w:rPr>
          <w:rFonts w:hint="eastAsia"/>
          <w:color w:val="auto"/>
          <w:highlight w:val="none"/>
        </w:rPr>
      </w:pPr>
    </w:p>
    <w:p w14:paraId="47501774">
      <w:pPr>
        <w:pStyle w:val="11"/>
        <w:spacing w:before="0" w:after="0" w:line="360" w:lineRule="auto"/>
        <w:rPr>
          <w:rFonts w:hint="eastAsia" w:ascii="宋体" w:hAnsi="宋体"/>
          <w:b w:val="0"/>
          <w:color w:val="auto"/>
          <w:sz w:val="32"/>
          <w:szCs w:val="32"/>
          <w:highlight w:val="none"/>
        </w:rPr>
      </w:pPr>
    </w:p>
    <w:p w14:paraId="6BE90594">
      <w:pPr>
        <w:spacing w:line="360" w:lineRule="auto"/>
        <w:jc w:val="center"/>
        <w:rPr>
          <w:rFonts w:hint="eastAsia" w:ascii="宋体" w:hAnsi="宋体"/>
          <w:b/>
          <w:color w:val="auto"/>
          <w:szCs w:val="21"/>
          <w:highlight w:val="none"/>
        </w:rPr>
      </w:pPr>
    </w:p>
    <w:p w14:paraId="2270A5CB">
      <w:pPr>
        <w:spacing w:line="360" w:lineRule="auto"/>
        <w:jc w:val="center"/>
        <w:rPr>
          <w:rFonts w:hint="eastAsia" w:ascii="宋体" w:hAnsi="宋体"/>
          <w:b/>
          <w:color w:val="auto"/>
          <w:szCs w:val="21"/>
          <w:highlight w:val="none"/>
        </w:rPr>
      </w:pPr>
    </w:p>
    <w:p w14:paraId="29761CC1">
      <w:pPr>
        <w:spacing w:line="360" w:lineRule="auto"/>
        <w:jc w:val="center"/>
        <w:rPr>
          <w:rFonts w:hint="eastAsia" w:ascii="宋体" w:hAnsi="宋体"/>
          <w:b/>
          <w:color w:val="auto"/>
          <w:szCs w:val="21"/>
          <w:highlight w:val="none"/>
        </w:rPr>
      </w:pPr>
    </w:p>
    <w:p w14:paraId="37F011B8">
      <w:pPr>
        <w:spacing w:line="360" w:lineRule="auto"/>
        <w:jc w:val="center"/>
        <w:rPr>
          <w:rFonts w:hint="eastAsia" w:ascii="宋体" w:hAnsi="宋体"/>
          <w:b/>
          <w:color w:val="auto"/>
          <w:szCs w:val="21"/>
          <w:highlight w:val="none"/>
        </w:rPr>
      </w:pPr>
    </w:p>
    <w:p w14:paraId="36022698">
      <w:pPr>
        <w:spacing w:line="360" w:lineRule="auto"/>
        <w:jc w:val="center"/>
        <w:rPr>
          <w:rFonts w:hint="eastAsia" w:ascii="宋体" w:hAnsi="宋体"/>
          <w:b/>
          <w:color w:val="auto"/>
          <w:szCs w:val="21"/>
          <w:highlight w:val="none"/>
        </w:rPr>
      </w:pPr>
    </w:p>
    <w:p w14:paraId="3292E709">
      <w:pPr>
        <w:spacing w:line="360" w:lineRule="auto"/>
        <w:jc w:val="center"/>
        <w:rPr>
          <w:rFonts w:hint="eastAsia" w:ascii="宋体" w:hAnsi="宋体"/>
          <w:b/>
          <w:color w:val="auto"/>
          <w:szCs w:val="21"/>
          <w:highlight w:val="none"/>
        </w:rPr>
      </w:pPr>
    </w:p>
    <w:p w14:paraId="0BB24106">
      <w:pPr>
        <w:spacing w:line="360" w:lineRule="auto"/>
        <w:jc w:val="center"/>
        <w:rPr>
          <w:rFonts w:hint="eastAsia" w:ascii="宋体" w:hAnsi="宋体"/>
          <w:b/>
          <w:color w:val="auto"/>
          <w:szCs w:val="21"/>
          <w:highlight w:val="none"/>
        </w:rPr>
      </w:pPr>
    </w:p>
    <w:p w14:paraId="553BF812">
      <w:pPr>
        <w:spacing w:line="360" w:lineRule="auto"/>
        <w:jc w:val="center"/>
        <w:rPr>
          <w:rFonts w:hint="eastAsia" w:ascii="宋体" w:hAnsi="宋体"/>
          <w:b/>
          <w:color w:val="auto"/>
          <w:szCs w:val="21"/>
          <w:highlight w:val="none"/>
        </w:rPr>
      </w:pPr>
    </w:p>
    <w:p w14:paraId="458CCEB9">
      <w:pPr>
        <w:spacing w:line="360" w:lineRule="auto"/>
        <w:jc w:val="center"/>
        <w:rPr>
          <w:rFonts w:hint="eastAsia" w:ascii="宋体" w:hAnsi="宋体"/>
          <w:b/>
          <w:color w:val="auto"/>
          <w:szCs w:val="21"/>
          <w:highlight w:val="none"/>
        </w:rPr>
      </w:pPr>
    </w:p>
    <w:p w14:paraId="58763F88">
      <w:pPr>
        <w:spacing w:line="360" w:lineRule="auto"/>
        <w:jc w:val="center"/>
        <w:rPr>
          <w:rFonts w:hint="eastAsia" w:ascii="宋体" w:hAnsi="宋体"/>
          <w:b/>
          <w:color w:val="auto"/>
          <w:szCs w:val="21"/>
          <w:highlight w:val="none"/>
        </w:rPr>
      </w:pPr>
    </w:p>
    <w:p w14:paraId="4C4406CF">
      <w:pPr>
        <w:spacing w:line="360" w:lineRule="auto"/>
        <w:jc w:val="center"/>
        <w:rPr>
          <w:rFonts w:hint="eastAsia" w:ascii="宋体" w:hAnsi="宋体"/>
          <w:b/>
          <w:color w:val="auto"/>
          <w:szCs w:val="21"/>
          <w:highlight w:val="none"/>
        </w:rPr>
      </w:pPr>
    </w:p>
    <w:p w14:paraId="4AAD58FA">
      <w:pPr>
        <w:spacing w:line="360" w:lineRule="auto"/>
        <w:jc w:val="center"/>
        <w:rPr>
          <w:rFonts w:hint="eastAsia" w:ascii="宋体" w:hAnsi="宋体"/>
          <w:b/>
          <w:color w:val="auto"/>
          <w:szCs w:val="21"/>
          <w:highlight w:val="none"/>
        </w:rPr>
      </w:pPr>
    </w:p>
    <w:p w14:paraId="2CDC5FFD">
      <w:pPr>
        <w:spacing w:line="360" w:lineRule="auto"/>
        <w:jc w:val="center"/>
        <w:rPr>
          <w:rFonts w:hint="eastAsia" w:ascii="宋体" w:hAnsi="宋体"/>
          <w:b/>
          <w:color w:val="auto"/>
          <w:szCs w:val="21"/>
          <w:highlight w:val="none"/>
        </w:rPr>
      </w:pPr>
    </w:p>
    <w:p w14:paraId="4BA26F9E">
      <w:pPr>
        <w:spacing w:line="360" w:lineRule="auto"/>
        <w:jc w:val="center"/>
        <w:rPr>
          <w:rFonts w:hint="eastAsia" w:ascii="宋体" w:hAnsi="宋体"/>
          <w:b/>
          <w:color w:val="auto"/>
          <w:szCs w:val="21"/>
          <w:highlight w:val="none"/>
        </w:rPr>
      </w:pPr>
    </w:p>
    <w:p w14:paraId="7C1A9A0C">
      <w:pPr>
        <w:spacing w:line="360" w:lineRule="auto"/>
        <w:jc w:val="center"/>
        <w:rPr>
          <w:rFonts w:hint="eastAsia" w:ascii="宋体" w:hAnsi="宋体"/>
          <w:b/>
          <w:color w:val="auto"/>
          <w:szCs w:val="21"/>
          <w:highlight w:val="none"/>
        </w:rPr>
      </w:pPr>
    </w:p>
    <w:p w14:paraId="52D1E1F9">
      <w:pPr>
        <w:spacing w:line="360" w:lineRule="auto"/>
        <w:jc w:val="center"/>
        <w:rPr>
          <w:rFonts w:hint="eastAsia" w:ascii="宋体" w:hAnsi="宋体"/>
          <w:b/>
          <w:color w:val="auto"/>
          <w:szCs w:val="21"/>
          <w:highlight w:val="none"/>
        </w:rPr>
      </w:pPr>
    </w:p>
    <w:p w14:paraId="70116F58">
      <w:pPr>
        <w:spacing w:line="360" w:lineRule="auto"/>
        <w:jc w:val="center"/>
        <w:rPr>
          <w:rFonts w:hint="eastAsia" w:ascii="宋体" w:hAnsi="宋体"/>
          <w:b/>
          <w:color w:val="auto"/>
          <w:szCs w:val="21"/>
          <w:highlight w:val="none"/>
        </w:rPr>
      </w:pPr>
    </w:p>
    <w:p w14:paraId="711A80A5">
      <w:pPr>
        <w:pStyle w:val="58"/>
        <w:spacing w:line="360" w:lineRule="auto"/>
        <w:ind w:firstLine="402"/>
        <w:rPr>
          <w:rFonts w:hint="eastAsia" w:hAnsi="宋体"/>
          <w:b/>
          <w:color w:val="auto"/>
          <w:szCs w:val="21"/>
          <w:highlight w:val="none"/>
        </w:rPr>
      </w:pPr>
    </w:p>
    <w:p w14:paraId="31FB59B2">
      <w:pPr>
        <w:spacing w:line="360" w:lineRule="auto"/>
        <w:rPr>
          <w:rFonts w:hint="eastAsia" w:ascii="宋体" w:hAnsi="宋体"/>
          <w:b/>
          <w:color w:val="auto"/>
          <w:szCs w:val="21"/>
          <w:highlight w:val="none"/>
        </w:rPr>
      </w:pPr>
    </w:p>
    <w:p w14:paraId="63CC46F7">
      <w:pPr>
        <w:pStyle w:val="58"/>
        <w:spacing w:line="360" w:lineRule="auto"/>
        <w:ind w:firstLine="400"/>
        <w:rPr>
          <w:rFonts w:hint="eastAsia"/>
          <w:color w:val="auto"/>
          <w:highlight w:val="none"/>
        </w:rPr>
      </w:pPr>
    </w:p>
    <w:p w14:paraId="06D43B9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一、资格性和符合性检查响应对照表</w:t>
      </w:r>
    </w:p>
    <w:p w14:paraId="3A7D3AE1">
      <w:pPr>
        <w:spacing w:line="360" w:lineRule="auto"/>
        <w:ind w:firstLine="30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磋商供应商全称（加盖公章）：</w:t>
      </w:r>
    </w:p>
    <w:tbl>
      <w:tblPr>
        <w:tblStyle w:val="4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680"/>
        <w:gridCol w:w="1785"/>
      </w:tblGrid>
      <w:tr w14:paraId="5231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9" w:hRule="atLeast"/>
        </w:trPr>
        <w:tc>
          <w:tcPr>
            <w:tcW w:w="646" w:type="dxa"/>
            <w:vAlign w:val="center"/>
          </w:tcPr>
          <w:p w14:paraId="675F669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447" w:type="dxa"/>
            <w:vAlign w:val="center"/>
          </w:tcPr>
          <w:p w14:paraId="2D702E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资格和符合性检查响应内容</w:t>
            </w:r>
          </w:p>
        </w:tc>
        <w:tc>
          <w:tcPr>
            <w:tcW w:w="1680" w:type="dxa"/>
            <w:vAlign w:val="center"/>
          </w:tcPr>
          <w:p w14:paraId="046E4D3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p w14:paraId="14B913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（填是或者否）</w:t>
            </w:r>
          </w:p>
        </w:tc>
        <w:tc>
          <w:tcPr>
            <w:tcW w:w="1785" w:type="dxa"/>
            <w:vAlign w:val="center"/>
          </w:tcPr>
          <w:p w14:paraId="55DD77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响应文件中的页码位置</w:t>
            </w:r>
          </w:p>
        </w:tc>
      </w:tr>
      <w:tr w14:paraId="2304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68139F3C">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auto"/>
                <w:szCs w:val="21"/>
                <w:highlight w:val="none"/>
                <w:u w:val="single"/>
              </w:rPr>
            </w:pPr>
            <w:r>
              <w:rPr>
                <w:rFonts w:hint="eastAsia" w:ascii="宋体" w:hAnsi="宋体" w:eastAsia="宋体" w:cs="宋体"/>
                <w:i/>
                <w:color w:val="auto"/>
                <w:szCs w:val="21"/>
                <w:highlight w:val="none"/>
                <w:u w:val="single"/>
              </w:rPr>
              <w:t>1</w:t>
            </w:r>
          </w:p>
        </w:tc>
        <w:tc>
          <w:tcPr>
            <w:tcW w:w="5447" w:type="dxa"/>
            <w:vAlign w:val="center"/>
          </w:tcPr>
          <w:p w14:paraId="56F9266B">
            <w:pPr>
              <w:keepNext w:val="0"/>
              <w:keepLines w:val="0"/>
              <w:suppressLineNumbers w:val="0"/>
              <w:spacing w:before="0" w:beforeAutospacing="0" w:after="0" w:afterAutospacing="0" w:line="360" w:lineRule="auto"/>
              <w:ind w:left="0" w:right="0"/>
              <w:rPr>
                <w:rFonts w:hint="eastAsia" w:ascii="宋体" w:hAnsi="宋体" w:eastAsia="宋体" w:cs="宋体"/>
                <w:i/>
                <w:iCs/>
                <w:color w:val="auto"/>
                <w:szCs w:val="21"/>
                <w:highlight w:val="none"/>
                <w:u w:val="single"/>
              </w:rPr>
            </w:pPr>
          </w:p>
        </w:tc>
        <w:tc>
          <w:tcPr>
            <w:tcW w:w="1680" w:type="dxa"/>
            <w:vAlign w:val="center"/>
          </w:tcPr>
          <w:p w14:paraId="387DD6F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785" w:type="dxa"/>
            <w:vAlign w:val="center"/>
          </w:tcPr>
          <w:p w14:paraId="78BAB8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2FA52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69C021D7">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auto"/>
                <w:szCs w:val="21"/>
                <w:highlight w:val="none"/>
                <w:u w:val="single"/>
              </w:rPr>
            </w:pPr>
            <w:r>
              <w:rPr>
                <w:rFonts w:hint="eastAsia" w:ascii="宋体" w:hAnsi="宋体" w:eastAsia="宋体" w:cs="宋体"/>
                <w:i/>
                <w:color w:val="auto"/>
                <w:szCs w:val="21"/>
                <w:highlight w:val="none"/>
                <w:u w:val="single"/>
              </w:rPr>
              <w:t>2</w:t>
            </w:r>
          </w:p>
        </w:tc>
        <w:tc>
          <w:tcPr>
            <w:tcW w:w="5447" w:type="dxa"/>
            <w:vAlign w:val="center"/>
          </w:tcPr>
          <w:p w14:paraId="677C51E9">
            <w:pPr>
              <w:keepNext w:val="0"/>
              <w:keepLines w:val="0"/>
              <w:suppressLineNumbers w:val="0"/>
              <w:spacing w:before="0" w:beforeAutospacing="0" w:after="0" w:afterAutospacing="0" w:line="360" w:lineRule="auto"/>
              <w:ind w:left="0" w:right="0"/>
              <w:rPr>
                <w:rFonts w:hint="eastAsia" w:ascii="宋体" w:hAnsi="宋体" w:eastAsia="宋体" w:cs="宋体"/>
                <w:i/>
                <w:iCs/>
                <w:color w:val="auto"/>
                <w:szCs w:val="21"/>
                <w:highlight w:val="none"/>
                <w:u w:val="single"/>
              </w:rPr>
            </w:pPr>
          </w:p>
        </w:tc>
        <w:tc>
          <w:tcPr>
            <w:tcW w:w="1680" w:type="dxa"/>
            <w:vAlign w:val="center"/>
          </w:tcPr>
          <w:p w14:paraId="471B28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785" w:type="dxa"/>
            <w:vAlign w:val="center"/>
          </w:tcPr>
          <w:p w14:paraId="36D17E2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7A111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766073D5">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auto"/>
                <w:szCs w:val="21"/>
                <w:highlight w:val="none"/>
                <w:u w:val="single"/>
              </w:rPr>
            </w:pPr>
            <w:r>
              <w:rPr>
                <w:rFonts w:hint="eastAsia" w:ascii="宋体" w:hAnsi="宋体" w:eastAsia="宋体" w:cs="宋体"/>
                <w:i/>
                <w:color w:val="auto"/>
                <w:szCs w:val="21"/>
                <w:highlight w:val="none"/>
                <w:u w:val="single"/>
              </w:rPr>
              <w:t>3</w:t>
            </w:r>
          </w:p>
        </w:tc>
        <w:tc>
          <w:tcPr>
            <w:tcW w:w="5447" w:type="dxa"/>
            <w:vAlign w:val="center"/>
          </w:tcPr>
          <w:p w14:paraId="58756061">
            <w:pPr>
              <w:keepNext w:val="0"/>
              <w:keepLines w:val="0"/>
              <w:suppressLineNumbers w:val="0"/>
              <w:spacing w:before="0" w:beforeAutospacing="0" w:after="0" w:afterAutospacing="0" w:line="360" w:lineRule="auto"/>
              <w:ind w:left="0" w:right="0"/>
              <w:rPr>
                <w:rFonts w:hint="eastAsia" w:ascii="宋体" w:hAnsi="宋体" w:eastAsia="宋体" w:cs="宋体"/>
                <w:i/>
                <w:iCs/>
                <w:color w:val="auto"/>
                <w:szCs w:val="21"/>
                <w:highlight w:val="none"/>
                <w:u w:val="single"/>
              </w:rPr>
            </w:pPr>
          </w:p>
        </w:tc>
        <w:tc>
          <w:tcPr>
            <w:tcW w:w="1680" w:type="dxa"/>
            <w:vAlign w:val="center"/>
          </w:tcPr>
          <w:p w14:paraId="0981B37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785" w:type="dxa"/>
            <w:vAlign w:val="center"/>
          </w:tcPr>
          <w:p w14:paraId="77CBB9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3D928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049D2A26">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auto"/>
                <w:szCs w:val="21"/>
                <w:highlight w:val="none"/>
                <w:u w:val="single"/>
              </w:rPr>
            </w:pPr>
            <w:r>
              <w:rPr>
                <w:rFonts w:hint="eastAsia" w:ascii="宋体" w:hAnsi="宋体" w:eastAsia="宋体" w:cs="宋体"/>
                <w:i/>
                <w:color w:val="auto"/>
                <w:szCs w:val="21"/>
                <w:highlight w:val="none"/>
                <w:u w:val="single"/>
              </w:rPr>
              <w:t>4</w:t>
            </w:r>
          </w:p>
        </w:tc>
        <w:tc>
          <w:tcPr>
            <w:tcW w:w="5447" w:type="dxa"/>
            <w:vAlign w:val="center"/>
          </w:tcPr>
          <w:p w14:paraId="533ECE6D">
            <w:pPr>
              <w:keepNext w:val="0"/>
              <w:keepLines w:val="0"/>
              <w:suppressLineNumbers w:val="0"/>
              <w:spacing w:before="0" w:beforeAutospacing="0" w:after="0" w:afterAutospacing="0" w:line="360" w:lineRule="auto"/>
              <w:ind w:left="0" w:right="0"/>
              <w:rPr>
                <w:rFonts w:hint="eastAsia" w:ascii="宋体" w:hAnsi="宋体" w:eastAsia="宋体" w:cs="宋体"/>
                <w:i/>
                <w:iCs/>
                <w:color w:val="auto"/>
                <w:szCs w:val="21"/>
                <w:highlight w:val="none"/>
                <w:u w:val="single"/>
              </w:rPr>
            </w:pPr>
          </w:p>
        </w:tc>
        <w:tc>
          <w:tcPr>
            <w:tcW w:w="1680" w:type="dxa"/>
            <w:vAlign w:val="center"/>
          </w:tcPr>
          <w:p w14:paraId="1F65B2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785" w:type="dxa"/>
            <w:vAlign w:val="center"/>
          </w:tcPr>
          <w:p w14:paraId="5D9977C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45D20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01C9C091">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auto"/>
                <w:szCs w:val="21"/>
                <w:highlight w:val="none"/>
                <w:u w:val="single"/>
              </w:rPr>
            </w:pPr>
            <w:r>
              <w:rPr>
                <w:rFonts w:hint="eastAsia" w:ascii="宋体" w:hAnsi="宋体" w:eastAsia="宋体" w:cs="宋体"/>
                <w:i/>
                <w:color w:val="auto"/>
                <w:szCs w:val="21"/>
                <w:highlight w:val="none"/>
                <w:u w:val="single"/>
              </w:rPr>
              <w:t>5</w:t>
            </w:r>
          </w:p>
        </w:tc>
        <w:tc>
          <w:tcPr>
            <w:tcW w:w="5447" w:type="dxa"/>
            <w:vAlign w:val="center"/>
          </w:tcPr>
          <w:p w14:paraId="45C1F178">
            <w:pPr>
              <w:keepNext w:val="0"/>
              <w:keepLines w:val="0"/>
              <w:suppressLineNumbers w:val="0"/>
              <w:spacing w:before="0" w:beforeAutospacing="0" w:after="0" w:afterAutospacing="0" w:line="360" w:lineRule="auto"/>
              <w:ind w:left="0" w:right="0"/>
              <w:rPr>
                <w:rFonts w:hint="eastAsia" w:ascii="宋体" w:hAnsi="宋体" w:eastAsia="宋体" w:cs="宋体"/>
                <w:i/>
                <w:iCs/>
                <w:color w:val="auto"/>
                <w:szCs w:val="21"/>
                <w:highlight w:val="none"/>
                <w:u w:val="single"/>
              </w:rPr>
            </w:pPr>
          </w:p>
        </w:tc>
        <w:tc>
          <w:tcPr>
            <w:tcW w:w="1680" w:type="dxa"/>
            <w:vAlign w:val="center"/>
          </w:tcPr>
          <w:p w14:paraId="5710170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785" w:type="dxa"/>
            <w:vAlign w:val="center"/>
          </w:tcPr>
          <w:p w14:paraId="66296C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3DA5B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2DE190FF">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auto"/>
                <w:szCs w:val="21"/>
                <w:highlight w:val="none"/>
                <w:u w:val="single"/>
              </w:rPr>
            </w:pPr>
            <w:r>
              <w:rPr>
                <w:rFonts w:hint="eastAsia" w:ascii="宋体" w:hAnsi="宋体" w:eastAsia="宋体" w:cs="宋体"/>
                <w:i/>
                <w:color w:val="auto"/>
                <w:szCs w:val="21"/>
                <w:highlight w:val="none"/>
                <w:u w:val="single"/>
              </w:rPr>
              <w:t>6</w:t>
            </w:r>
          </w:p>
        </w:tc>
        <w:tc>
          <w:tcPr>
            <w:tcW w:w="5447" w:type="dxa"/>
            <w:vAlign w:val="center"/>
          </w:tcPr>
          <w:p w14:paraId="05841B26">
            <w:pPr>
              <w:keepNext w:val="0"/>
              <w:keepLines w:val="0"/>
              <w:suppressLineNumbers w:val="0"/>
              <w:spacing w:before="0" w:beforeAutospacing="0" w:after="0" w:afterAutospacing="0" w:line="360" w:lineRule="auto"/>
              <w:ind w:left="0" w:right="0"/>
              <w:rPr>
                <w:rFonts w:hint="eastAsia" w:ascii="宋体" w:hAnsi="宋体" w:eastAsia="宋体" w:cs="宋体"/>
                <w:i/>
                <w:iCs/>
                <w:color w:val="auto"/>
                <w:szCs w:val="21"/>
                <w:highlight w:val="none"/>
                <w:u w:val="single"/>
              </w:rPr>
            </w:pPr>
          </w:p>
        </w:tc>
        <w:tc>
          <w:tcPr>
            <w:tcW w:w="1680" w:type="dxa"/>
            <w:vAlign w:val="center"/>
          </w:tcPr>
          <w:p w14:paraId="7E17B4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785" w:type="dxa"/>
            <w:vAlign w:val="center"/>
          </w:tcPr>
          <w:p w14:paraId="7E977B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73161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34426174">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auto"/>
                <w:szCs w:val="21"/>
                <w:highlight w:val="none"/>
                <w:u w:val="single"/>
              </w:rPr>
            </w:pPr>
            <w:r>
              <w:rPr>
                <w:rFonts w:hint="eastAsia" w:ascii="宋体" w:hAnsi="宋体" w:eastAsia="宋体" w:cs="宋体"/>
                <w:i/>
                <w:color w:val="auto"/>
                <w:szCs w:val="21"/>
                <w:highlight w:val="none"/>
                <w:u w:val="single"/>
              </w:rPr>
              <w:t>7</w:t>
            </w:r>
          </w:p>
        </w:tc>
        <w:tc>
          <w:tcPr>
            <w:tcW w:w="5447" w:type="dxa"/>
            <w:vAlign w:val="center"/>
          </w:tcPr>
          <w:p w14:paraId="21A184CF">
            <w:pPr>
              <w:keepNext w:val="0"/>
              <w:keepLines w:val="0"/>
              <w:suppressLineNumbers w:val="0"/>
              <w:spacing w:before="0" w:beforeAutospacing="0" w:after="0" w:afterAutospacing="0" w:line="360" w:lineRule="auto"/>
              <w:ind w:left="0" w:right="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磋商文件中的其他实质性要求</w:t>
            </w:r>
          </w:p>
        </w:tc>
        <w:tc>
          <w:tcPr>
            <w:tcW w:w="1680" w:type="dxa"/>
            <w:vAlign w:val="center"/>
          </w:tcPr>
          <w:p w14:paraId="32CE57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785" w:type="dxa"/>
            <w:vAlign w:val="center"/>
          </w:tcPr>
          <w:p w14:paraId="49E38B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bl>
    <w:p w14:paraId="6095325E">
      <w:pPr>
        <w:spacing w:line="360" w:lineRule="auto"/>
        <w:ind w:firstLine="420" w:firstLineChars="200"/>
        <w:rPr>
          <w:rFonts w:hint="eastAsia" w:ascii="宋体" w:hAnsi="宋体"/>
          <w:color w:val="auto"/>
          <w:szCs w:val="21"/>
          <w:highlight w:val="none"/>
        </w:rPr>
      </w:pPr>
    </w:p>
    <w:p w14:paraId="2E80BF8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455AD3B0">
      <w:pPr>
        <w:spacing w:line="360" w:lineRule="auto"/>
        <w:rPr>
          <w:rFonts w:hint="eastAsia" w:ascii="宋体" w:hAnsi="宋体"/>
          <w:color w:val="auto"/>
          <w:szCs w:val="21"/>
          <w:highlight w:val="none"/>
        </w:rPr>
      </w:pPr>
    </w:p>
    <w:p w14:paraId="253B5514">
      <w:pPr>
        <w:spacing w:line="360" w:lineRule="auto"/>
        <w:jc w:val="center"/>
        <w:rPr>
          <w:rFonts w:hint="eastAsia" w:ascii="宋体" w:hAnsi="宋体"/>
          <w:b/>
          <w:color w:val="auto"/>
          <w:szCs w:val="21"/>
          <w:highlight w:val="none"/>
        </w:rPr>
      </w:pPr>
    </w:p>
    <w:p w14:paraId="502C677A">
      <w:pPr>
        <w:spacing w:line="360" w:lineRule="auto"/>
        <w:jc w:val="center"/>
        <w:rPr>
          <w:rFonts w:hint="eastAsia" w:ascii="宋体" w:hAnsi="宋体"/>
          <w:b/>
          <w:color w:val="auto"/>
          <w:szCs w:val="21"/>
          <w:highlight w:val="none"/>
        </w:rPr>
      </w:pPr>
    </w:p>
    <w:p w14:paraId="7D38E033">
      <w:pPr>
        <w:spacing w:line="360" w:lineRule="auto"/>
        <w:jc w:val="center"/>
        <w:rPr>
          <w:rFonts w:hint="eastAsia" w:ascii="宋体" w:hAnsi="宋体"/>
          <w:b/>
          <w:color w:val="auto"/>
          <w:szCs w:val="21"/>
          <w:highlight w:val="none"/>
        </w:rPr>
      </w:pPr>
    </w:p>
    <w:p w14:paraId="4664C102">
      <w:pPr>
        <w:spacing w:line="360" w:lineRule="auto"/>
        <w:jc w:val="center"/>
        <w:rPr>
          <w:rFonts w:hint="eastAsia" w:ascii="宋体" w:hAnsi="宋体"/>
          <w:b/>
          <w:color w:val="auto"/>
          <w:szCs w:val="21"/>
          <w:highlight w:val="none"/>
        </w:rPr>
      </w:pPr>
    </w:p>
    <w:p w14:paraId="72D21BE8">
      <w:pPr>
        <w:spacing w:line="360" w:lineRule="auto"/>
        <w:jc w:val="center"/>
        <w:rPr>
          <w:rFonts w:hint="eastAsia" w:ascii="宋体" w:hAnsi="宋体"/>
          <w:b/>
          <w:color w:val="auto"/>
          <w:szCs w:val="21"/>
          <w:highlight w:val="none"/>
        </w:rPr>
      </w:pPr>
    </w:p>
    <w:p w14:paraId="638B15AD">
      <w:pPr>
        <w:spacing w:line="360" w:lineRule="auto"/>
        <w:jc w:val="center"/>
        <w:rPr>
          <w:rFonts w:hint="eastAsia" w:ascii="宋体" w:hAnsi="宋体"/>
          <w:b/>
          <w:color w:val="auto"/>
          <w:szCs w:val="21"/>
          <w:highlight w:val="none"/>
        </w:rPr>
      </w:pPr>
    </w:p>
    <w:p w14:paraId="3E6A6EAB">
      <w:pPr>
        <w:spacing w:line="360" w:lineRule="auto"/>
        <w:rPr>
          <w:rFonts w:hint="eastAsia"/>
          <w:color w:val="auto"/>
          <w:highlight w:val="none"/>
        </w:rPr>
      </w:pPr>
    </w:p>
    <w:p w14:paraId="0B3FFE59">
      <w:pPr>
        <w:spacing w:line="360" w:lineRule="auto"/>
        <w:jc w:val="center"/>
        <w:rPr>
          <w:rFonts w:hint="eastAsia" w:ascii="宋体" w:hAnsi="宋体" w:eastAsia="宋体" w:cs="宋体"/>
          <w:b/>
          <w:color w:val="auto"/>
          <w:szCs w:val="21"/>
          <w:highlight w:val="none"/>
        </w:rPr>
      </w:pPr>
      <w:r>
        <w:rPr>
          <w:rFonts w:hint="eastAsia" w:ascii="宋体" w:hAnsi="宋体"/>
          <w:b/>
          <w:color w:val="auto"/>
          <w:szCs w:val="21"/>
          <w:highlight w:val="none"/>
        </w:rPr>
        <w:br w:type="page"/>
      </w:r>
      <w:r>
        <w:rPr>
          <w:rFonts w:hint="eastAsia" w:ascii="宋体" w:hAnsi="宋体" w:eastAsia="宋体" w:cs="宋体"/>
          <w:b/>
          <w:color w:val="auto"/>
          <w:szCs w:val="21"/>
          <w:highlight w:val="none"/>
        </w:rPr>
        <w:t>二、资信证明文件</w:t>
      </w:r>
    </w:p>
    <w:p w14:paraId="1B87B621">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1、实质性资格证明文件目录</w:t>
      </w:r>
    </w:p>
    <w:p w14:paraId="0C015D7C">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（1）磋商响应函</w:t>
      </w:r>
      <w:r>
        <w:rPr>
          <w:rFonts w:hint="eastAsia" w:ascii="宋体" w:hAnsi="宋体" w:eastAsia="宋体" w:cs="宋体"/>
          <w:b/>
          <w:i/>
          <w:color w:val="auto"/>
          <w:kern w:val="0"/>
          <w:szCs w:val="21"/>
          <w:highlight w:val="none"/>
          <w:u w:val="single"/>
        </w:rPr>
        <w:t>(原件)</w:t>
      </w:r>
    </w:p>
    <w:p w14:paraId="0C72EEF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（2）资格声明</w:t>
      </w:r>
      <w:r>
        <w:rPr>
          <w:rFonts w:hint="eastAsia" w:ascii="宋体" w:hAnsi="宋体" w:eastAsia="宋体" w:cs="宋体"/>
          <w:b/>
          <w:i/>
          <w:color w:val="auto"/>
          <w:kern w:val="0"/>
          <w:szCs w:val="21"/>
          <w:highlight w:val="none"/>
          <w:u w:val="single"/>
        </w:rPr>
        <w:t>(原件)</w:t>
      </w:r>
    </w:p>
    <w:p w14:paraId="60C62227">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i/>
          <w:color w:val="auto"/>
          <w:kern w:val="0"/>
          <w:szCs w:val="21"/>
          <w:highlight w:val="none"/>
          <w:u w:val="single"/>
        </w:rPr>
      </w:pPr>
      <w:r>
        <w:rPr>
          <w:rFonts w:hint="eastAsia" w:ascii="宋体" w:hAnsi="宋体" w:eastAsia="宋体" w:cs="宋体"/>
          <w:i/>
          <w:color w:val="auto"/>
          <w:kern w:val="0"/>
          <w:szCs w:val="21"/>
          <w:highlight w:val="none"/>
          <w:u w:val="single"/>
        </w:rPr>
        <w:t>（3）若法定代表人参加磋商的，须提供本人身份证</w:t>
      </w:r>
      <w:r>
        <w:rPr>
          <w:rFonts w:hint="eastAsia" w:ascii="宋体" w:hAnsi="宋体" w:eastAsia="宋体" w:cs="宋体"/>
          <w:b/>
          <w:i/>
          <w:color w:val="auto"/>
          <w:kern w:val="0"/>
          <w:szCs w:val="21"/>
          <w:highlight w:val="none"/>
          <w:u w:val="single"/>
        </w:rPr>
        <w:t>复印件加盖供应商公章(原件备查)</w:t>
      </w:r>
      <w:r>
        <w:rPr>
          <w:rFonts w:hint="eastAsia" w:ascii="宋体" w:hAnsi="宋体" w:eastAsia="宋体" w:cs="宋体"/>
          <w:i/>
          <w:color w:val="auto"/>
          <w:kern w:val="0"/>
          <w:szCs w:val="21"/>
          <w:highlight w:val="none"/>
          <w:u w:val="single"/>
        </w:rPr>
        <w:t>；若授权代表参加的，须提供《法人授权书》</w:t>
      </w:r>
      <w:r>
        <w:rPr>
          <w:rFonts w:hint="eastAsia" w:ascii="宋体" w:hAnsi="宋体" w:eastAsia="宋体" w:cs="宋体"/>
          <w:b/>
          <w:i/>
          <w:color w:val="auto"/>
          <w:kern w:val="0"/>
          <w:szCs w:val="21"/>
          <w:highlight w:val="none"/>
          <w:u w:val="single"/>
        </w:rPr>
        <w:t>原件</w:t>
      </w:r>
      <w:r>
        <w:rPr>
          <w:rFonts w:hint="eastAsia" w:ascii="宋体" w:hAnsi="宋体" w:eastAsia="宋体" w:cs="宋体"/>
          <w:bCs/>
          <w:i/>
          <w:color w:val="auto"/>
          <w:kern w:val="0"/>
          <w:szCs w:val="21"/>
          <w:highlight w:val="none"/>
          <w:u w:val="single"/>
        </w:rPr>
        <w:t>和</w:t>
      </w:r>
      <w:r>
        <w:rPr>
          <w:rFonts w:hint="eastAsia" w:ascii="宋体" w:hAnsi="宋体" w:eastAsia="宋体" w:cs="宋体"/>
          <w:i/>
          <w:color w:val="auto"/>
          <w:kern w:val="0"/>
          <w:szCs w:val="21"/>
          <w:highlight w:val="none"/>
          <w:u w:val="single"/>
        </w:rPr>
        <w:t>授权代表身份证</w:t>
      </w:r>
      <w:r>
        <w:rPr>
          <w:rFonts w:hint="eastAsia" w:ascii="宋体" w:hAnsi="宋体" w:eastAsia="宋体" w:cs="宋体"/>
          <w:b/>
          <w:bCs/>
          <w:i/>
          <w:color w:val="auto"/>
          <w:kern w:val="0"/>
          <w:szCs w:val="21"/>
          <w:highlight w:val="none"/>
          <w:u w:val="single"/>
        </w:rPr>
        <w:t>复印件</w:t>
      </w:r>
      <w:r>
        <w:rPr>
          <w:rFonts w:hint="eastAsia" w:ascii="宋体" w:hAnsi="宋体" w:eastAsia="宋体" w:cs="宋体"/>
          <w:b/>
          <w:i/>
          <w:color w:val="auto"/>
          <w:kern w:val="0"/>
          <w:szCs w:val="21"/>
          <w:highlight w:val="none"/>
          <w:u w:val="single"/>
        </w:rPr>
        <w:t>加盖供应商公章（原件备查）</w:t>
      </w:r>
      <w:r>
        <w:rPr>
          <w:rFonts w:hint="eastAsia" w:ascii="宋体" w:hAnsi="宋体" w:eastAsia="宋体" w:cs="宋体"/>
          <w:i/>
          <w:color w:val="auto"/>
          <w:kern w:val="0"/>
          <w:szCs w:val="21"/>
          <w:highlight w:val="none"/>
          <w:u w:val="single"/>
        </w:rPr>
        <w:t>；</w:t>
      </w:r>
    </w:p>
    <w:p w14:paraId="3B2ED80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（4）营业执照副本</w:t>
      </w:r>
      <w:r>
        <w:rPr>
          <w:rFonts w:hint="eastAsia" w:ascii="宋体" w:hAnsi="宋体" w:eastAsia="宋体" w:cs="宋体"/>
          <w:b/>
          <w:bCs/>
          <w:i/>
          <w:color w:val="auto"/>
          <w:kern w:val="0"/>
          <w:szCs w:val="21"/>
          <w:highlight w:val="none"/>
          <w:u w:val="single"/>
        </w:rPr>
        <w:t>（复印件加盖供应商公章）</w:t>
      </w:r>
    </w:p>
    <w:p w14:paraId="4872103D">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（5）依法缴纳职工社会保障资金的证明材料</w:t>
      </w:r>
      <w:r>
        <w:rPr>
          <w:rFonts w:hint="eastAsia" w:ascii="宋体" w:hAnsi="宋体" w:eastAsia="宋体" w:cs="宋体"/>
          <w:b/>
          <w:bCs/>
          <w:i/>
          <w:color w:val="auto"/>
          <w:kern w:val="0"/>
          <w:szCs w:val="21"/>
          <w:highlight w:val="none"/>
          <w:u w:val="single"/>
        </w:rPr>
        <w:t>(复印件加盖供应商公章</w:t>
      </w:r>
      <w:r>
        <w:rPr>
          <w:rFonts w:hint="eastAsia" w:ascii="宋体" w:hAnsi="宋体" w:eastAsia="宋体" w:cs="宋体"/>
          <w:i/>
          <w:color w:val="auto"/>
          <w:kern w:val="0"/>
          <w:szCs w:val="21"/>
          <w:highlight w:val="none"/>
          <w:u w:val="single"/>
        </w:rPr>
        <w:t>)(税务、银行或社会保险基金管理部门出具的近三个月</w:t>
      </w:r>
      <w:r>
        <w:rPr>
          <w:rFonts w:hint="eastAsia" w:ascii="宋体" w:hAnsi="宋体" w:eastAsia="宋体" w:cs="宋体"/>
          <w:b/>
          <w:bCs/>
          <w:i/>
          <w:color w:val="auto"/>
          <w:kern w:val="0"/>
          <w:szCs w:val="21"/>
          <w:highlight w:val="none"/>
          <w:u w:val="single"/>
        </w:rPr>
        <w:t>（202</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年</w:t>
      </w:r>
      <w:r>
        <w:rPr>
          <w:rFonts w:hint="eastAsia" w:ascii="宋体" w:hAnsi="宋体" w:eastAsia="宋体" w:cs="宋体"/>
          <w:b/>
          <w:bCs/>
          <w:i/>
          <w:color w:val="auto"/>
          <w:kern w:val="0"/>
          <w:szCs w:val="21"/>
          <w:highlight w:val="none"/>
          <w:u w:val="single"/>
          <w:lang w:val="en-US" w:eastAsia="zh-CN"/>
        </w:rPr>
        <w:t>3</w:t>
      </w:r>
      <w:r>
        <w:rPr>
          <w:rFonts w:hint="eastAsia" w:ascii="宋体" w:hAnsi="宋体" w:eastAsia="宋体" w:cs="宋体"/>
          <w:b/>
          <w:bCs/>
          <w:i/>
          <w:color w:val="auto"/>
          <w:kern w:val="0"/>
          <w:szCs w:val="21"/>
          <w:highlight w:val="none"/>
          <w:u w:val="single"/>
        </w:rPr>
        <w:t>月至202</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年</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月）</w:t>
      </w:r>
      <w:r>
        <w:rPr>
          <w:rFonts w:hint="eastAsia" w:ascii="宋体" w:hAnsi="宋体" w:eastAsia="宋体" w:cs="宋体"/>
          <w:i/>
          <w:color w:val="auto"/>
          <w:kern w:val="0"/>
          <w:szCs w:val="21"/>
          <w:highlight w:val="none"/>
          <w:u w:val="single"/>
        </w:rPr>
        <w:t>内任意一个月缴纳职工社会保障资金的缴款凭证或缴款证明)</w:t>
      </w:r>
    </w:p>
    <w:p w14:paraId="46E3DFD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i/>
          <w:color w:val="auto"/>
          <w:kern w:val="0"/>
          <w:szCs w:val="21"/>
          <w:highlight w:val="none"/>
          <w:u w:val="single"/>
        </w:rPr>
      </w:pPr>
      <w:r>
        <w:rPr>
          <w:rFonts w:hint="eastAsia" w:ascii="宋体" w:hAnsi="宋体" w:eastAsia="宋体" w:cs="宋体"/>
          <w:i/>
          <w:color w:val="auto"/>
          <w:kern w:val="0"/>
          <w:szCs w:val="21"/>
          <w:highlight w:val="none"/>
          <w:u w:val="single"/>
        </w:rPr>
        <w:t>（6）供应商近三个月</w:t>
      </w:r>
      <w:r>
        <w:rPr>
          <w:rFonts w:hint="eastAsia" w:ascii="宋体" w:hAnsi="宋体" w:eastAsia="宋体" w:cs="宋体"/>
          <w:b/>
          <w:bCs/>
          <w:i/>
          <w:color w:val="auto"/>
          <w:kern w:val="0"/>
          <w:szCs w:val="21"/>
          <w:highlight w:val="none"/>
          <w:u w:val="single"/>
        </w:rPr>
        <w:t>（202</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年</w:t>
      </w:r>
      <w:r>
        <w:rPr>
          <w:rFonts w:hint="eastAsia" w:ascii="宋体" w:hAnsi="宋体" w:eastAsia="宋体" w:cs="宋体"/>
          <w:b/>
          <w:bCs/>
          <w:i/>
          <w:color w:val="auto"/>
          <w:kern w:val="0"/>
          <w:szCs w:val="21"/>
          <w:highlight w:val="none"/>
          <w:u w:val="single"/>
          <w:lang w:val="en-US" w:eastAsia="zh-CN"/>
        </w:rPr>
        <w:t>3</w:t>
      </w:r>
      <w:r>
        <w:rPr>
          <w:rFonts w:hint="eastAsia" w:ascii="宋体" w:hAnsi="宋体" w:eastAsia="宋体" w:cs="宋体"/>
          <w:b/>
          <w:bCs/>
          <w:i/>
          <w:color w:val="auto"/>
          <w:kern w:val="0"/>
          <w:szCs w:val="21"/>
          <w:highlight w:val="none"/>
          <w:u w:val="single"/>
        </w:rPr>
        <w:t>月至202</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年</w:t>
      </w:r>
      <w:r>
        <w:rPr>
          <w:rFonts w:hint="eastAsia" w:ascii="宋体" w:hAnsi="宋体" w:eastAsia="宋体" w:cs="宋体"/>
          <w:b/>
          <w:bCs/>
          <w:i/>
          <w:color w:val="auto"/>
          <w:kern w:val="0"/>
          <w:szCs w:val="21"/>
          <w:highlight w:val="none"/>
          <w:u w:val="single"/>
          <w:lang w:val="en-US" w:eastAsia="zh-CN"/>
        </w:rPr>
        <w:t>5</w:t>
      </w:r>
      <w:r>
        <w:rPr>
          <w:rFonts w:hint="eastAsia" w:ascii="宋体" w:hAnsi="宋体" w:eastAsia="宋体" w:cs="宋体"/>
          <w:b/>
          <w:bCs/>
          <w:i/>
          <w:color w:val="auto"/>
          <w:kern w:val="0"/>
          <w:szCs w:val="21"/>
          <w:highlight w:val="none"/>
          <w:u w:val="single"/>
        </w:rPr>
        <w:t>月）</w:t>
      </w:r>
      <w:r>
        <w:rPr>
          <w:rFonts w:hint="eastAsia" w:ascii="宋体" w:hAnsi="宋体" w:eastAsia="宋体" w:cs="宋体"/>
          <w:i/>
          <w:color w:val="auto"/>
          <w:kern w:val="0"/>
          <w:szCs w:val="21"/>
          <w:highlight w:val="none"/>
          <w:u w:val="single"/>
        </w:rPr>
        <w:t>内任意一个月依法纳税的缴款凭证</w:t>
      </w:r>
      <w:r>
        <w:rPr>
          <w:rFonts w:hint="eastAsia" w:ascii="宋体" w:hAnsi="宋体" w:eastAsia="宋体" w:cs="宋体"/>
          <w:b/>
          <w:bCs/>
          <w:i/>
          <w:color w:val="auto"/>
          <w:kern w:val="0"/>
          <w:szCs w:val="21"/>
          <w:highlight w:val="none"/>
          <w:u w:val="single"/>
        </w:rPr>
        <w:t>(复印件加盖供应商公章)</w:t>
      </w:r>
    </w:p>
    <w:p w14:paraId="761C03B1">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（7）上一年度财务报告（成立不满一年不需提供，如2024年度财务审计报告未出，可提供2023年财务审计报告）</w:t>
      </w:r>
      <w:r>
        <w:rPr>
          <w:rFonts w:hint="eastAsia" w:ascii="宋体" w:hAnsi="宋体" w:eastAsia="宋体" w:cs="宋体"/>
          <w:b/>
          <w:bCs/>
          <w:i/>
          <w:color w:val="auto"/>
          <w:kern w:val="0"/>
          <w:szCs w:val="21"/>
          <w:highlight w:val="none"/>
          <w:u w:val="single"/>
        </w:rPr>
        <w:t>(复印件加盖供应商公章)</w:t>
      </w:r>
    </w:p>
    <w:p w14:paraId="265F28F4">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i/>
          <w:color w:val="auto"/>
          <w:kern w:val="0"/>
          <w:szCs w:val="21"/>
          <w:highlight w:val="none"/>
          <w:u w:val="single"/>
        </w:rPr>
      </w:pPr>
      <w:r>
        <w:rPr>
          <w:rFonts w:hint="eastAsia" w:ascii="宋体" w:hAnsi="宋体" w:eastAsia="宋体" w:cs="宋体"/>
          <w:i/>
          <w:color w:val="auto"/>
          <w:kern w:val="0"/>
          <w:szCs w:val="21"/>
          <w:highlight w:val="none"/>
          <w:u w:val="single"/>
        </w:rPr>
        <w:t>（8）供应商参加本次采购活动前3年内在经营活动中没有重大违法记录的书面声明（</w:t>
      </w:r>
      <w:r>
        <w:rPr>
          <w:rFonts w:hint="eastAsia" w:ascii="宋体" w:hAnsi="宋体" w:eastAsia="宋体" w:cs="宋体"/>
          <w:b/>
          <w:bCs/>
          <w:i/>
          <w:color w:val="auto"/>
          <w:kern w:val="0"/>
          <w:szCs w:val="21"/>
          <w:highlight w:val="none"/>
          <w:u w:val="single"/>
        </w:rPr>
        <w:t>原件）</w:t>
      </w:r>
    </w:p>
    <w:p w14:paraId="5A8292D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color w:val="auto"/>
          <w:kern w:val="0"/>
          <w:szCs w:val="21"/>
          <w:highlight w:val="none"/>
          <w:u w:val="single"/>
        </w:rPr>
      </w:pPr>
      <w:r>
        <w:rPr>
          <w:rFonts w:hint="eastAsia" w:ascii="宋体" w:hAnsi="宋体" w:eastAsia="宋体" w:cs="宋体"/>
          <w:i/>
          <w:color w:val="auto"/>
          <w:kern w:val="0"/>
          <w:szCs w:val="21"/>
          <w:highlight w:val="none"/>
          <w:u w:val="single"/>
        </w:rPr>
        <w:t>（9）未被“信用中国”网站（www.creditchina.gov.cn）、“中国政府采购网"(www.ccgp.gov.cn)列入失信被执行人、重大税收违法案件当事人名单、政府采购严重违法失信行为记录名单</w:t>
      </w:r>
      <w:r>
        <w:rPr>
          <w:rFonts w:hint="eastAsia" w:ascii="宋体" w:hAnsi="宋体" w:eastAsia="宋体" w:cs="宋体"/>
          <w:b/>
          <w:bCs/>
          <w:i/>
          <w:iCs/>
          <w:color w:val="auto"/>
          <w:kern w:val="0"/>
          <w:szCs w:val="21"/>
          <w:highlight w:val="none"/>
          <w:u w:val="single"/>
          <w:lang w:val="en"/>
        </w:rPr>
        <w:t>（提供网页查询截图并加盖供应商公章，查询时间为自公告发布至开标截止时间前任意时间）</w:t>
      </w:r>
    </w:p>
    <w:p w14:paraId="3310C96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i/>
          <w:color w:val="auto"/>
          <w:kern w:val="0"/>
          <w:szCs w:val="21"/>
          <w:highlight w:val="none"/>
          <w:u w:val="single"/>
        </w:rPr>
      </w:pPr>
      <w:r>
        <w:rPr>
          <w:rFonts w:hint="eastAsia" w:ascii="宋体" w:hAnsi="宋体" w:eastAsia="宋体" w:cs="宋体"/>
          <w:i/>
          <w:color w:val="auto"/>
          <w:kern w:val="0"/>
          <w:szCs w:val="21"/>
          <w:highlight w:val="none"/>
          <w:u w:val="single"/>
        </w:rPr>
        <w:t>（10）供应商信用承诺书</w:t>
      </w:r>
      <w:r>
        <w:rPr>
          <w:rFonts w:hint="eastAsia" w:ascii="宋体" w:hAnsi="宋体" w:eastAsia="宋体" w:cs="宋体"/>
          <w:b/>
          <w:bCs/>
          <w:i/>
          <w:color w:val="auto"/>
          <w:kern w:val="0"/>
          <w:szCs w:val="21"/>
          <w:highlight w:val="none"/>
          <w:u w:val="single"/>
        </w:rPr>
        <w:t>（原件）</w:t>
      </w:r>
    </w:p>
    <w:p w14:paraId="3F9C376F">
      <w:pPr>
        <w:keepNext w:val="0"/>
        <w:keepLines w:val="0"/>
        <w:pageBreakBefore w:val="0"/>
        <w:widowControl w:val="0"/>
        <w:numPr>
          <w:ilvl w:val="0"/>
          <w:numId w:val="4"/>
        </w:numPr>
        <w:kinsoku/>
        <w:wordWrap/>
        <w:overflowPunct/>
        <w:topLinePunct w:val="0"/>
        <w:autoSpaceDE/>
        <w:autoSpaceDN/>
        <w:bidi w:val="0"/>
        <w:spacing w:line="360" w:lineRule="auto"/>
        <w:ind w:firstLine="420" w:firstLineChars="200"/>
        <w:jc w:val="left"/>
        <w:rPr>
          <w:rFonts w:hint="eastAsia" w:ascii="宋体" w:hAnsi="宋体" w:eastAsia="宋体" w:cs="宋体"/>
          <w:i/>
          <w:color w:val="auto"/>
          <w:highlight w:val="none"/>
          <w:u w:val="single"/>
        </w:rPr>
      </w:pPr>
      <w:r>
        <w:rPr>
          <w:rFonts w:hint="eastAsia" w:ascii="宋体" w:hAnsi="宋体" w:eastAsia="宋体" w:cs="宋体"/>
          <w:color w:val="auto"/>
          <w:highlight w:val="none"/>
        </w:rPr>
        <w:t>落实采购政策需满足的资格要求：</w:t>
      </w:r>
      <w:r>
        <w:rPr>
          <w:rFonts w:hint="eastAsia" w:ascii="宋体" w:hAnsi="宋体" w:eastAsia="宋体" w:cs="宋体"/>
          <w:i/>
          <w:color w:val="auto"/>
          <w:highlight w:val="none"/>
          <w:u w:val="single"/>
        </w:rPr>
        <w:t>无</w:t>
      </w:r>
    </w:p>
    <w:p w14:paraId="481796D0">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cs="Arial"/>
          <w:bCs/>
          <w:i/>
          <w:iCs/>
          <w:color w:val="auto"/>
          <w:szCs w:val="21"/>
          <w:highlight w:val="none"/>
          <w:u w:val="single"/>
        </w:rPr>
        <w:t>供应商为</w:t>
      </w:r>
      <w:r>
        <w:rPr>
          <w:rFonts w:hint="eastAsia" w:ascii="宋体" w:hAnsi="宋体" w:cs="Arial"/>
          <w:bCs/>
          <w:i/>
          <w:iCs/>
          <w:color w:val="auto"/>
          <w:szCs w:val="21"/>
          <w:highlight w:val="none"/>
          <w:u w:val="single"/>
          <w:lang w:val="en-US" w:eastAsia="zh-CN"/>
        </w:rPr>
        <w:t>授权委托人</w:t>
      </w:r>
      <w:r>
        <w:rPr>
          <w:rFonts w:hint="eastAsia" w:ascii="宋体" w:hAnsi="宋体" w:cs="Arial"/>
          <w:bCs/>
          <w:i/>
          <w:iCs/>
          <w:color w:val="auto"/>
          <w:szCs w:val="21"/>
          <w:highlight w:val="none"/>
          <w:u w:val="single"/>
        </w:rPr>
        <w:t>缴纳的</w:t>
      </w:r>
      <w:r>
        <w:rPr>
          <w:rFonts w:hint="eastAsia" w:ascii="宋体" w:hAnsi="宋体" w:cs="宋体"/>
          <w:i/>
          <w:color w:val="auto"/>
          <w:kern w:val="0"/>
          <w:szCs w:val="21"/>
          <w:highlight w:val="none"/>
          <w:u w:val="single"/>
          <w:lang w:eastAsia="zh-CN"/>
        </w:rPr>
        <w:t>202</w:t>
      </w:r>
      <w:r>
        <w:rPr>
          <w:rFonts w:hint="eastAsia" w:ascii="宋体" w:hAnsi="宋体" w:cs="宋体"/>
          <w:i/>
          <w:color w:val="auto"/>
          <w:kern w:val="0"/>
          <w:szCs w:val="21"/>
          <w:highlight w:val="none"/>
          <w:u w:val="single"/>
          <w:lang w:val="en-US" w:eastAsia="zh-CN"/>
        </w:rPr>
        <w:t>5</w:t>
      </w:r>
      <w:r>
        <w:rPr>
          <w:rFonts w:hint="eastAsia" w:ascii="宋体" w:hAnsi="宋体" w:cs="宋体"/>
          <w:i/>
          <w:color w:val="auto"/>
          <w:kern w:val="0"/>
          <w:szCs w:val="21"/>
          <w:highlight w:val="none"/>
          <w:u w:val="single"/>
          <w:lang w:eastAsia="zh-CN"/>
        </w:rPr>
        <w:t>年</w:t>
      </w:r>
      <w:r>
        <w:rPr>
          <w:rFonts w:hint="eastAsia" w:ascii="宋体" w:hAnsi="宋体" w:cs="宋体"/>
          <w:i/>
          <w:color w:val="auto"/>
          <w:kern w:val="0"/>
          <w:szCs w:val="21"/>
          <w:highlight w:val="none"/>
          <w:u w:val="single"/>
          <w:lang w:val="en-US" w:eastAsia="zh-CN"/>
        </w:rPr>
        <w:t>3</w:t>
      </w:r>
      <w:r>
        <w:rPr>
          <w:rFonts w:hint="eastAsia" w:ascii="宋体" w:hAnsi="宋体" w:cs="宋体"/>
          <w:i/>
          <w:color w:val="auto"/>
          <w:kern w:val="0"/>
          <w:szCs w:val="21"/>
          <w:highlight w:val="none"/>
          <w:u w:val="single"/>
          <w:lang w:eastAsia="zh-CN"/>
        </w:rPr>
        <w:t>月至202</w:t>
      </w:r>
      <w:r>
        <w:rPr>
          <w:rFonts w:hint="eastAsia" w:ascii="宋体" w:hAnsi="宋体" w:cs="宋体"/>
          <w:i/>
          <w:color w:val="auto"/>
          <w:kern w:val="0"/>
          <w:szCs w:val="21"/>
          <w:highlight w:val="none"/>
          <w:u w:val="single"/>
          <w:lang w:val="en-US" w:eastAsia="zh-CN"/>
        </w:rPr>
        <w:t>5</w:t>
      </w:r>
      <w:r>
        <w:rPr>
          <w:rFonts w:hint="eastAsia" w:ascii="宋体" w:hAnsi="宋体" w:cs="宋体"/>
          <w:i/>
          <w:color w:val="auto"/>
          <w:kern w:val="0"/>
          <w:szCs w:val="21"/>
          <w:highlight w:val="none"/>
          <w:u w:val="single"/>
          <w:lang w:eastAsia="zh-CN"/>
        </w:rPr>
        <w:t>年</w:t>
      </w:r>
      <w:r>
        <w:rPr>
          <w:rFonts w:hint="eastAsia" w:ascii="宋体" w:hAnsi="宋体" w:cs="宋体"/>
          <w:i/>
          <w:color w:val="auto"/>
          <w:kern w:val="0"/>
          <w:szCs w:val="21"/>
          <w:highlight w:val="none"/>
          <w:u w:val="single"/>
          <w:lang w:val="en-US" w:eastAsia="zh-CN"/>
        </w:rPr>
        <w:t>5</w:t>
      </w:r>
      <w:r>
        <w:rPr>
          <w:rFonts w:hint="eastAsia" w:ascii="宋体" w:hAnsi="宋体" w:cs="宋体"/>
          <w:i/>
          <w:color w:val="auto"/>
          <w:kern w:val="0"/>
          <w:szCs w:val="21"/>
          <w:highlight w:val="none"/>
          <w:u w:val="single"/>
          <w:lang w:eastAsia="zh-CN"/>
        </w:rPr>
        <w:t>月</w:t>
      </w:r>
      <w:r>
        <w:rPr>
          <w:rFonts w:hint="eastAsia" w:ascii="宋体" w:hAnsi="宋体" w:cs="Arial"/>
          <w:bCs/>
          <w:i/>
          <w:iCs/>
          <w:color w:val="auto"/>
          <w:szCs w:val="21"/>
          <w:highlight w:val="none"/>
          <w:u w:val="single"/>
        </w:rPr>
        <w:t>任意</w:t>
      </w:r>
      <w:r>
        <w:rPr>
          <w:rFonts w:hint="eastAsia" w:ascii="宋体" w:hAnsi="宋体" w:cs="Arial"/>
          <w:bCs/>
          <w:i/>
          <w:iCs/>
          <w:color w:val="auto"/>
          <w:szCs w:val="21"/>
          <w:highlight w:val="none"/>
          <w:u w:val="single"/>
        </w:rPr>
        <w:t>一个月的社保证明</w:t>
      </w:r>
      <w:r>
        <w:rPr>
          <w:rFonts w:hint="eastAsia" w:ascii="宋体" w:hAnsi="宋体" w:cs="Arial"/>
          <w:b/>
          <w:bCs/>
          <w:i/>
          <w:iCs/>
          <w:color w:val="auto"/>
          <w:szCs w:val="21"/>
          <w:highlight w:val="none"/>
          <w:u w:val="single"/>
        </w:rPr>
        <w:t>(复印件加盖供应商公章)</w:t>
      </w:r>
    </w:p>
    <w:bookmarkEnd w:id="129"/>
    <w:bookmarkEnd w:id="130"/>
    <w:bookmarkEnd w:id="131"/>
    <w:bookmarkEnd w:id="135"/>
    <w:bookmarkEnd w:id="136"/>
    <w:bookmarkEnd w:id="137"/>
    <w:bookmarkEnd w:id="138"/>
    <w:bookmarkEnd w:id="139"/>
    <w:bookmarkEnd w:id="140"/>
    <w:bookmarkEnd w:id="141"/>
    <w:bookmarkEnd w:id="142"/>
    <w:p w14:paraId="27A502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磋商响应文件的正本和副本中均须提供资格证明文件的复印件。磋商响应文件中所有要求提供资格证明文件原件的，请单独封装，并在封袋上注明“资格证明文件原件”和响应文件一同递交。资格证明文件须清晰可辨，若有缺失或不清晰，将导致投标被拒绝且不允许在开标后补正。</w:t>
      </w:r>
    </w:p>
    <w:p w14:paraId="09C8935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4、拒绝下述供应商参加本次采购活动：</w:t>
      </w:r>
    </w:p>
    <w:p w14:paraId="335DCE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（1）供应商单位负责人为同一人或者存在直接控股、管理关系的不同供应商，不得参加同一合同项下的采购活动。</w:t>
      </w:r>
    </w:p>
    <w:p w14:paraId="06991D26">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14:paraId="030319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（3）供应商被“信用中国”网站（www.creditchina.gov.cn）、“中国政府采购网"(www.ccgp.gov.cn)列入失信被执行人、重大税收违法案件当事人名单、采购严重违法失信行为记录名单。</w:t>
      </w:r>
    </w:p>
    <w:p w14:paraId="442DD7E6">
      <w:pPr>
        <w:pStyle w:val="2"/>
        <w:spacing w:line="360" w:lineRule="auto"/>
        <w:ind w:firstLine="422"/>
        <w:jc w:val="center"/>
        <w:rPr>
          <w:rFonts w:hint="eastAsia" w:ascii="宋体" w:hAnsi="宋体" w:eastAsia="宋体" w:cs="宋体"/>
          <w:b/>
          <w:color w:val="auto"/>
          <w:szCs w:val="21"/>
          <w:highlight w:val="none"/>
        </w:rPr>
      </w:pPr>
      <w:r>
        <w:rPr>
          <w:rFonts w:hint="eastAsia" w:ascii="宋体" w:hAnsi="宋体" w:cs="宋体"/>
          <w:b/>
          <w:color w:val="auto"/>
          <w:szCs w:val="21"/>
          <w:highlight w:val="none"/>
        </w:rPr>
        <w:br w:type="page"/>
      </w:r>
      <w:r>
        <w:rPr>
          <w:rFonts w:hint="eastAsia" w:ascii="宋体" w:hAnsi="宋体" w:eastAsia="宋体" w:cs="宋体"/>
          <w:b/>
          <w:color w:val="auto"/>
          <w:szCs w:val="21"/>
          <w:highlight w:val="none"/>
        </w:rPr>
        <w:t>资 格 声 明</w:t>
      </w:r>
    </w:p>
    <w:p w14:paraId="4332A631">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1、名称及其它情况：</w:t>
      </w:r>
    </w:p>
    <w:p w14:paraId="44B2ECB7">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（1）供应商名称：</w:t>
      </w:r>
      <w:r>
        <w:rPr>
          <w:rFonts w:hint="eastAsia" w:ascii="宋体" w:hAnsi="宋体" w:eastAsia="宋体" w:cs="宋体"/>
          <w:color w:val="auto"/>
          <w:kern w:val="1"/>
          <w:szCs w:val="21"/>
          <w:highlight w:val="none"/>
          <w:u w:val="single"/>
        </w:rPr>
        <w:t xml:space="preserve">                         </w:t>
      </w:r>
    </w:p>
    <w:p w14:paraId="4F33B569">
      <w:pPr>
        <w:keepNext w:val="0"/>
        <w:keepLines w:val="0"/>
        <w:pageBreakBefore w:val="0"/>
        <w:widowControl w:val="0"/>
        <w:tabs>
          <w:tab w:val="left" w:pos="4740"/>
        </w:tabs>
        <w:kinsoku/>
        <w:wordWrap/>
        <w:overflowPunct/>
        <w:topLinePunct w:val="0"/>
        <w:autoSpaceDE/>
        <w:autoSpaceDN/>
        <w:bidi w:val="0"/>
        <w:spacing w:line="288" w:lineRule="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（2）地址：</w:t>
      </w:r>
      <w:r>
        <w:rPr>
          <w:rFonts w:hint="eastAsia" w:ascii="宋体" w:hAnsi="宋体" w:eastAsia="宋体" w:cs="宋体"/>
          <w:color w:val="auto"/>
          <w:kern w:val="1"/>
          <w:szCs w:val="21"/>
          <w:highlight w:val="none"/>
          <w:u w:val="single"/>
        </w:rPr>
        <w:t xml:space="preserve">                               </w:t>
      </w:r>
      <w:r>
        <w:rPr>
          <w:rFonts w:hint="eastAsia" w:ascii="宋体" w:hAnsi="宋体" w:eastAsia="宋体" w:cs="宋体"/>
          <w:color w:val="auto"/>
          <w:kern w:val="1"/>
          <w:szCs w:val="21"/>
          <w:highlight w:val="none"/>
        </w:rPr>
        <w:tab/>
      </w:r>
      <w:r>
        <w:rPr>
          <w:rFonts w:hint="eastAsia" w:ascii="宋体" w:hAnsi="宋体" w:eastAsia="宋体" w:cs="宋体"/>
          <w:color w:val="auto"/>
          <w:kern w:val="1"/>
          <w:szCs w:val="21"/>
          <w:highlight w:val="none"/>
        </w:rPr>
        <w:t>邮编：</w:t>
      </w:r>
      <w:r>
        <w:rPr>
          <w:rFonts w:hint="eastAsia" w:ascii="宋体" w:hAnsi="宋体" w:eastAsia="宋体" w:cs="宋体"/>
          <w:color w:val="auto"/>
          <w:kern w:val="1"/>
          <w:szCs w:val="21"/>
          <w:highlight w:val="none"/>
          <w:u w:val="single"/>
        </w:rPr>
        <w:t xml:space="preserve">                  </w:t>
      </w:r>
      <w:r>
        <w:rPr>
          <w:rFonts w:hint="eastAsia" w:ascii="宋体" w:hAnsi="宋体" w:eastAsia="宋体" w:cs="宋体"/>
          <w:color w:val="auto"/>
          <w:kern w:val="1"/>
          <w:szCs w:val="21"/>
          <w:highlight w:val="none"/>
        </w:rPr>
        <w:t xml:space="preserve"> </w:t>
      </w:r>
    </w:p>
    <w:p w14:paraId="12F27045">
      <w:pPr>
        <w:keepNext w:val="0"/>
        <w:keepLines w:val="0"/>
        <w:pageBreakBefore w:val="0"/>
        <w:widowControl w:val="0"/>
        <w:tabs>
          <w:tab w:val="left" w:pos="600"/>
          <w:tab w:val="left" w:pos="4320"/>
        </w:tabs>
        <w:kinsoku/>
        <w:wordWrap/>
        <w:overflowPunct/>
        <w:topLinePunct w:val="0"/>
        <w:autoSpaceDE/>
        <w:autoSpaceDN/>
        <w:bidi w:val="0"/>
        <w:spacing w:line="288" w:lineRule="auto"/>
        <w:ind w:firstLine="525"/>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电话：</w:t>
      </w:r>
      <w:r>
        <w:rPr>
          <w:rFonts w:hint="eastAsia" w:ascii="宋体" w:hAnsi="宋体" w:eastAsia="宋体" w:cs="宋体"/>
          <w:color w:val="auto"/>
          <w:kern w:val="1"/>
          <w:szCs w:val="21"/>
          <w:highlight w:val="none"/>
          <w:u w:val="single"/>
        </w:rPr>
        <w:t xml:space="preserve">                               </w:t>
      </w:r>
      <w:r>
        <w:rPr>
          <w:rFonts w:hint="eastAsia" w:ascii="宋体" w:hAnsi="宋体" w:eastAsia="宋体" w:cs="宋体"/>
          <w:color w:val="auto"/>
          <w:kern w:val="1"/>
          <w:szCs w:val="21"/>
          <w:highlight w:val="none"/>
        </w:rPr>
        <w:t xml:space="preserve">   传真：</w:t>
      </w:r>
      <w:r>
        <w:rPr>
          <w:rFonts w:hint="eastAsia" w:ascii="宋体" w:hAnsi="宋体" w:eastAsia="宋体" w:cs="宋体"/>
          <w:color w:val="auto"/>
          <w:kern w:val="1"/>
          <w:szCs w:val="21"/>
          <w:highlight w:val="none"/>
          <w:u w:val="single"/>
        </w:rPr>
        <w:t xml:space="preserve">                  </w:t>
      </w:r>
    </w:p>
    <w:p w14:paraId="21398FD9">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auto"/>
          <w:kern w:val="1"/>
          <w:szCs w:val="21"/>
          <w:highlight w:val="none"/>
          <w:u w:val="single"/>
        </w:rPr>
      </w:pPr>
      <w:r>
        <w:rPr>
          <w:rFonts w:hint="eastAsia" w:ascii="宋体" w:hAnsi="宋体" w:eastAsia="宋体" w:cs="宋体"/>
          <w:color w:val="auto"/>
          <w:kern w:val="1"/>
          <w:szCs w:val="21"/>
          <w:highlight w:val="none"/>
        </w:rPr>
        <w:t>（3）成立和/或注册日期：</w:t>
      </w:r>
      <w:r>
        <w:rPr>
          <w:rFonts w:hint="eastAsia" w:ascii="宋体" w:hAnsi="宋体" w:eastAsia="宋体" w:cs="宋体"/>
          <w:color w:val="auto"/>
          <w:kern w:val="1"/>
          <w:szCs w:val="21"/>
          <w:highlight w:val="none"/>
          <w:u w:val="single"/>
        </w:rPr>
        <w:t xml:space="preserve">                  </w:t>
      </w:r>
    </w:p>
    <w:p w14:paraId="1B85ED91">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（4）法定代表人：</w:t>
      </w:r>
      <w:r>
        <w:rPr>
          <w:rFonts w:hint="eastAsia" w:ascii="宋体" w:hAnsi="宋体" w:eastAsia="宋体" w:cs="宋体"/>
          <w:color w:val="auto"/>
          <w:kern w:val="1"/>
          <w:szCs w:val="21"/>
          <w:highlight w:val="none"/>
          <w:u w:val="single"/>
        </w:rPr>
        <w:t xml:space="preserve">                         </w:t>
      </w:r>
    </w:p>
    <w:p w14:paraId="3B19C9E6">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auto"/>
          <w:kern w:val="1"/>
          <w:szCs w:val="21"/>
          <w:highlight w:val="none"/>
          <w:u w:val="single"/>
        </w:rPr>
      </w:pPr>
      <w:r>
        <w:rPr>
          <w:rFonts w:hint="eastAsia" w:ascii="宋体" w:hAnsi="宋体" w:eastAsia="宋体" w:cs="宋体"/>
          <w:color w:val="auto"/>
          <w:kern w:val="1"/>
          <w:szCs w:val="21"/>
          <w:highlight w:val="none"/>
        </w:rPr>
        <w:t>（5）实收资本：</w:t>
      </w:r>
      <w:r>
        <w:rPr>
          <w:rFonts w:hint="eastAsia" w:ascii="宋体" w:hAnsi="宋体" w:eastAsia="宋体" w:cs="宋体"/>
          <w:color w:val="auto"/>
          <w:kern w:val="1"/>
          <w:szCs w:val="21"/>
          <w:highlight w:val="none"/>
          <w:u w:val="single"/>
        </w:rPr>
        <w:t xml:space="preserve">                           </w:t>
      </w:r>
    </w:p>
    <w:p w14:paraId="1B58A903">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（6）近期资产负债表：（到</w:t>
      </w:r>
      <w:r>
        <w:rPr>
          <w:rFonts w:hint="eastAsia" w:ascii="宋体" w:hAnsi="宋体" w:eastAsia="宋体" w:cs="宋体"/>
          <w:color w:val="auto"/>
          <w:kern w:val="1"/>
          <w:szCs w:val="21"/>
          <w:highlight w:val="none"/>
          <w:u w:val="single"/>
        </w:rPr>
        <w:t>20  年12月31日</w:t>
      </w:r>
      <w:r>
        <w:rPr>
          <w:rFonts w:hint="eastAsia" w:ascii="宋体" w:hAnsi="宋体" w:eastAsia="宋体" w:cs="宋体"/>
          <w:color w:val="auto"/>
          <w:kern w:val="1"/>
          <w:szCs w:val="21"/>
          <w:highlight w:val="none"/>
        </w:rPr>
        <w:t>）</w:t>
      </w:r>
    </w:p>
    <w:p w14:paraId="1DC21959">
      <w:pPr>
        <w:keepNext w:val="0"/>
        <w:keepLines w:val="0"/>
        <w:pageBreakBefore w:val="0"/>
        <w:widowControl w:val="0"/>
        <w:kinsoku/>
        <w:wordWrap/>
        <w:overflowPunct/>
        <w:topLinePunct w:val="0"/>
        <w:autoSpaceDE/>
        <w:autoSpaceDN/>
        <w:bidi w:val="0"/>
        <w:spacing w:line="288" w:lineRule="auto"/>
        <w:ind w:firstLine="24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&lt;1&gt; 固定资产：</w:t>
      </w:r>
      <w:r>
        <w:rPr>
          <w:rFonts w:hint="eastAsia" w:ascii="宋体" w:hAnsi="宋体" w:eastAsia="宋体" w:cs="宋体"/>
          <w:color w:val="auto"/>
          <w:kern w:val="1"/>
          <w:szCs w:val="21"/>
          <w:highlight w:val="none"/>
          <w:u w:val="single"/>
        </w:rPr>
        <w:t xml:space="preserve">                          </w:t>
      </w:r>
    </w:p>
    <w:p w14:paraId="73B1E25A">
      <w:pPr>
        <w:keepNext w:val="0"/>
        <w:keepLines w:val="0"/>
        <w:pageBreakBefore w:val="0"/>
        <w:widowControl w:val="0"/>
        <w:kinsoku/>
        <w:wordWrap/>
        <w:overflowPunct/>
        <w:topLinePunct w:val="0"/>
        <w:autoSpaceDE/>
        <w:autoSpaceDN/>
        <w:bidi w:val="0"/>
        <w:spacing w:line="288" w:lineRule="auto"/>
        <w:ind w:firstLine="24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&lt;2&gt; 流动资金：</w:t>
      </w:r>
      <w:r>
        <w:rPr>
          <w:rFonts w:hint="eastAsia" w:ascii="宋体" w:hAnsi="宋体" w:eastAsia="宋体" w:cs="宋体"/>
          <w:color w:val="auto"/>
          <w:kern w:val="1"/>
          <w:szCs w:val="21"/>
          <w:highlight w:val="none"/>
          <w:u w:val="single"/>
        </w:rPr>
        <w:t xml:space="preserve">                          </w:t>
      </w:r>
    </w:p>
    <w:p w14:paraId="3F0DC7C3">
      <w:pPr>
        <w:keepNext w:val="0"/>
        <w:keepLines w:val="0"/>
        <w:pageBreakBefore w:val="0"/>
        <w:widowControl w:val="0"/>
        <w:kinsoku/>
        <w:wordWrap/>
        <w:overflowPunct/>
        <w:topLinePunct w:val="0"/>
        <w:autoSpaceDE/>
        <w:autoSpaceDN/>
        <w:bidi w:val="0"/>
        <w:spacing w:line="288" w:lineRule="auto"/>
        <w:ind w:firstLine="24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&lt;3&gt; 长期负债：</w:t>
      </w:r>
      <w:r>
        <w:rPr>
          <w:rFonts w:hint="eastAsia" w:ascii="宋体" w:hAnsi="宋体" w:eastAsia="宋体" w:cs="宋体"/>
          <w:color w:val="auto"/>
          <w:kern w:val="1"/>
          <w:szCs w:val="21"/>
          <w:highlight w:val="none"/>
          <w:u w:val="single"/>
        </w:rPr>
        <w:t xml:space="preserve">                          </w:t>
      </w:r>
    </w:p>
    <w:p w14:paraId="77040A97">
      <w:pPr>
        <w:keepNext w:val="0"/>
        <w:keepLines w:val="0"/>
        <w:pageBreakBefore w:val="0"/>
        <w:widowControl w:val="0"/>
        <w:kinsoku/>
        <w:wordWrap/>
        <w:overflowPunct/>
        <w:topLinePunct w:val="0"/>
        <w:autoSpaceDE/>
        <w:autoSpaceDN/>
        <w:bidi w:val="0"/>
        <w:spacing w:line="288" w:lineRule="auto"/>
        <w:ind w:firstLine="24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&lt;4&gt; 短期负债：</w:t>
      </w:r>
      <w:r>
        <w:rPr>
          <w:rFonts w:hint="eastAsia" w:ascii="宋体" w:hAnsi="宋体" w:eastAsia="宋体" w:cs="宋体"/>
          <w:color w:val="auto"/>
          <w:kern w:val="1"/>
          <w:szCs w:val="21"/>
          <w:highlight w:val="none"/>
          <w:u w:val="single"/>
        </w:rPr>
        <w:t xml:space="preserve">                          </w:t>
      </w:r>
    </w:p>
    <w:p w14:paraId="60440F6F">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2、近三年同类货物和服务的主要销售业绩（无有效联系人、联系方式和合同复印件的视为未填报本项目）：</w:t>
      </w:r>
    </w:p>
    <w:tbl>
      <w:tblPr>
        <w:tblStyle w:val="45"/>
        <w:tblW w:w="0" w:type="auto"/>
        <w:jc w:val="center"/>
        <w:tblLayout w:type="autofit"/>
        <w:tblCellMar>
          <w:top w:w="0" w:type="dxa"/>
          <w:left w:w="108" w:type="dxa"/>
          <w:bottom w:w="0" w:type="dxa"/>
          <w:right w:w="108" w:type="dxa"/>
        </w:tblCellMar>
      </w:tblPr>
      <w:tblGrid>
        <w:gridCol w:w="4271"/>
        <w:gridCol w:w="4251"/>
      </w:tblGrid>
      <w:tr w14:paraId="2C9AA466">
        <w:tblPrEx>
          <w:tblCellMar>
            <w:top w:w="0" w:type="dxa"/>
            <w:left w:w="108" w:type="dxa"/>
            <w:bottom w:w="0" w:type="dxa"/>
            <w:right w:w="108" w:type="dxa"/>
          </w:tblCellMar>
        </w:tblPrEx>
        <w:trPr>
          <w:trHeight w:val="0" w:hRule="atLeast"/>
          <w:jc w:val="center"/>
        </w:trPr>
        <w:tc>
          <w:tcPr>
            <w:tcW w:w="4271" w:type="dxa"/>
            <w:tcBorders>
              <w:top w:val="nil"/>
              <w:left w:val="nil"/>
              <w:bottom w:val="nil"/>
              <w:right w:val="nil"/>
            </w:tcBorders>
            <w:vAlign w:val="top"/>
          </w:tcPr>
          <w:p w14:paraId="518C6ED9">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color w:val="auto"/>
                <w:kern w:val="1"/>
                <w:szCs w:val="21"/>
                <w:highlight w:val="none"/>
                <w:u w:val="single"/>
              </w:rPr>
            </w:pPr>
            <w:r>
              <w:rPr>
                <w:rFonts w:hint="eastAsia" w:ascii="宋体" w:hAnsi="宋体" w:eastAsia="宋体" w:cs="宋体"/>
                <w:color w:val="auto"/>
                <w:kern w:val="1"/>
                <w:szCs w:val="21"/>
                <w:highlight w:val="none"/>
                <w:u w:val="single"/>
              </w:rPr>
              <w:t>甲方名称、联系人、联系方式</w:t>
            </w:r>
          </w:p>
        </w:tc>
        <w:tc>
          <w:tcPr>
            <w:tcW w:w="4251" w:type="dxa"/>
            <w:tcBorders>
              <w:top w:val="nil"/>
              <w:left w:val="nil"/>
              <w:bottom w:val="nil"/>
              <w:right w:val="nil"/>
            </w:tcBorders>
            <w:vAlign w:val="top"/>
          </w:tcPr>
          <w:p w14:paraId="2DE49B34">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color w:val="auto"/>
                <w:kern w:val="1"/>
                <w:szCs w:val="21"/>
                <w:highlight w:val="none"/>
                <w:u w:val="single"/>
              </w:rPr>
            </w:pPr>
            <w:r>
              <w:rPr>
                <w:rFonts w:hint="eastAsia" w:ascii="宋体" w:hAnsi="宋体" w:eastAsia="宋体" w:cs="宋体"/>
                <w:color w:val="auto"/>
                <w:kern w:val="1"/>
                <w:szCs w:val="21"/>
                <w:highlight w:val="none"/>
                <w:u w:val="single"/>
              </w:rPr>
              <w:t>项   目   名   称</w:t>
            </w:r>
          </w:p>
        </w:tc>
      </w:tr>
      <w:tr w14:paraId="3683D620">
        <w:tblPrEx>
          <w:tblCellMar>
            <w:top w:w="0" w:type="dxa"/>
            <w:left w:w="108" w:type="dxa"/>
            <w:bottom w:w="0" w:type="dxa"/>
            <w:right w:w="108" w:type="dxa"/>
          </w:tblCellMar>
        </w:tblPrEx>
        <w:trPr>
          <w:trHeight w:val="0" w:hRule="atLeast"/>
          <w:jc w:val="center"/>
        </w:trPr>
        <w:tc>
          <w:tcPr>
            <w:tcW w:w="4271" w:type="dxa"/>
            <w:tcBorders>
              <w:top w:val="nil"/>
              <w:left w:val="nil"/>
              <w:bottom w:val="nil"/>
              <w:right w:val="nil"/>
            </w:tcBorders>
            <w:vAlign w:val="top"/>
          </w:tcPr>
          <w:p w14:paraId="3E235E61">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u w:val="single"/>
              </w:rPr>
              <w:t xml:space="preserve">                                                    </w:t>
            </w:r>
          </w:p>
        </w:tc>
        <w:tc>
          <w:tcPr>
            <w:tcW w:w="4251" w:type="dxa"/>
            <w:tcBorders>
              <w:top w:val="nil"/>
              <w:left w:val="nil"/>
              <w:bottom w:val="nil"/>
              <w:right w:val="nil"/>
            </w:tcBorders>
            <w:vAlign w:val="top"/>
          </w:tcPr>
          <w:p w14:paraId="1F828568">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u w:val="single"/>
              </w:rPr>
              <w:t xml:space="preserve">                                          </w:t>
            </w:r>
          </w:p>
        </w:tc>
      </w:tr>
      <w:tr w14:paraId="053648C1">
        <w:tblPrEx>
          <w:tblCellMar>
            <w:top w:w="0" w:type="dxa"/>
            <w:left w:w="108" w:type="dxa"/>
            <w:bottom w:w="0" w:type="dxa"/>
            <w:right w:w="108" w:type="dxa"/>
          </w:tblCellMar>
        </w:tblPrEx>
        <w:trPr>
          <w:trHeight w:val="0" w:hRule="atLeast"/>
          <w:jc w:val="center"/>
        </w:trPr>
        <w:tc>
          <w:tcPr>
            <w:tcW w:w="4271" w:type="dxa"/>
            <w:tcBorders>
              <w:top w:val="nil"/>
              <w:left w:val="nil"/>
              <w:bottom w:val="nil"/>
              <w:right w:val="nil"/>
            </w:tcBorders>
            <w:vAlign w:val="top"/>
          </w:tcPr>
          <w:p w14:paraId="478E2DB0">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u w:val="single"/>
              </w:rPr>
              <w:t xml:space="preserve">                                          </w:t>
            </w:r>
          </w:p>
        </w:tc>
        <w:tc>
          <w:tcPr>
            <w:tcW w:w="4251" w:type="dxa"/>
            <w:tcBorders>
              <w:top w:val="nil"/>
              <w:left w:val="nil"/>
              <w:bottom w:val="nil"/>
              <w:right w:val="nil"/>
            </w:tcBorders>
            <w:vAlign w:val="top"/>
          </w:tcPr>
          <w:p w14:paraId="60A1A045">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u w:val="single"/>
              </w:rPr>
              <w:t xml:space="preserve">                                          </w:t>
            </w:r>
          </w:p>
        </w:tc>
      </w:tr>
    </w:tbl>
    <w:p w14:paraId="372B7460">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3、近三年的营业额： </w:t>
      </w:r>
    </w:p>
    <w:tbl>
      <w:tblPr>
        <w:tblStyle w:val="45"/>
        <w:tblW w:w="0" w:type="auto"/>
        <w:jc w:val="center"/>
        <w:tblLayout w:type="fixed"/>
        <w:tblCellMar>
          <w:top w:w="0" w:type="dxa"/>
          <w:left w:w="108" w:type="dxa"/>
          <w:bottom w:w="0" w:type="dxa"/>
          <w:right w:w="108" w:type="dxa"/>
        </w:tblCellMar>
      </w:tblPr>
      <w:tblGrid>
        <w:gridCol w:w="2321"/>
        <w:gridCol w:w="2322"/>
        <w:gridCol w:w="2321"/>
        <w:gridCol w:w="2322"/>
      </w:tblGrid>
      <w:tr w14:paraId="6043413F">
        <w:tblPrEx>
          <w:tblCellMar>
            <w:top w:w="0" w:type="dxa"/>
            <w:left w:w="108" w:type="dxa"/>
            <w:bottom w:w="0" w:type="dxa"/>
            <w:right w:w="108" w:type="dxa"/>
          </w:tblCellMar>
        </w:tblPrEx>
        <w:trPr>
          <w:trHeight w:val="0" w:hRule="atLeast"/>
          <w:jc w:val="center"/>
        </w:trPr>
        <w:tc>
          <w:tcPr>
            <w:tcW w:w="2321" w:type="dxa"/>
            <w:tcBorders>
              <w:top w:val="nil"/>
              <w:left w:val="nil"/>
              <w:bottom w:val="nil"/>
              <w:right w:val="nil"/>
            </w:tcBorders>
            <w:vAlign w:val="top"/>
          </w:tcPr>
          <w:p w14:paraId="5EC45C4B">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份</w:t>
            </w:r>
          </w:p>
        </w:tc>
        <w:tc>
          <w:tcPr>
            <w:tcW w:w="2322" w:type="dxa"/>
            <w:tcBorders>
              <w:top w:val="nil"/>
              <w:left w:val="nil"/>
              <w:bottom w:val="nil"/>
              <w:right w:val="nil"/>
            </w:tcBorders>
            <w:vAlign w:val="top"/>
          </w:tcPr>
          <w:p w14:paraId="39CC479D">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    内（万元）</w:t>
            </w:r>
          </w:p>
        </w:tc>
        <w:tc>
          <w:tcPr>
            <w:tcW w:w="2321" w:type="dxa"/>
            <w:tcBorders>
              <w:top w:val="nil"/>
              <w:left w:val="nil"/>
              <w:bottom w:val="nil"/>
              <w:right w:val="nil"/>
            </w:tcBorders>
            <w:vAlign w:val="top"/>
          </w:tcPr>
          <w:p w14:paraId="138CAFA3">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    口（万元）</w:t>
            </w:r>
          </w:p>
        </w:tc>
        <w:tc>
          <w:tcPr>
            <w:tcW w:w="2322" w:type="dxa"/>
            <w:tcBorders>
              <w:top w:val="nil"/>
              <w:left w:val="nil"/>
              <w:bottom w:val="nil"/>
              <w:right w:val="nil"/>
            </w:tcBorders>
            <w:vAlign w:val="top"/>
          </w:tcPr>
          <w:p w14:paraId="26487B9E">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    额（万元）</w:t>
            </w:r>
          </w:p>
        </w:tc>
      </w:tr>
      <w:tr w14:paraId="7A40BB1C">
        <w:tblPrEx>
          <w:tblCellMar>
            <w:top w:w="0" w:type="dxa"/>
            <w:left w:w="108" w:type="dxa"/>
            <w:bottom w:w="0" w:type="dxa"/>
            <w:right w:w="108" w:type="dxa"/>
          </w:tblCellMar>
        </w:tblPrEx>
        <w:trPr>
          <w:trHeight w:val="0" w:hRule="atLeast"/>
          <w:jc w:val="center"/>
        </w:trPr>
        <w:tc>
          <w:tcPr>
            <w:tcW w:w="2321" w:type="dxa"/>
            <w:tcBorders>
              <w:top w:val="nil"/>
              <w:left w:val="nil"/>
              <w:bottom w:val="nil"/>
              <w:right w:val="nil"/>
            </w:tcBorders>
            <w:vAlign w:val="top"/>
          </w:tcPr>
          <w:p w14:paraId="1D4EDDA4">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w:t>
            </w:r>
          </w:p>
        </w:tc>
        <w:tc>
          <w:tcPr>
            <w:tcW w:w="2322" w:type="dxa"/>
            <w:tcBorders>
              <w:top w:val="nil"/>
              <w:left w:val="nil"/>
              <w:bottom w:val="nil"/>
              <w:right w:val="nil"/>
            </w:tcBorders>
            <w:vAlign w:val="top"/>
          </w:tcPr>
          <w:p w14:paraId="0A3E1F98">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szCs w:val="21"/>
                <w:highlight w:val="none"/>
              </w:rPr>
            </w:pPr>
          </w:p>
        </w:tc>
        <w:tc>
          <w:tcPr>
            <w:tcW w:w="2321" w:type="dxa"/>
            <w:tcBorders>
              <w:top w:val="nil"/>
              <w:left w:val="nil"/>
              <w:bottom w:val="nil"/>
              <w:right w:val="nil"/>
            </w:tcBorders>
            <w:vAlign w:val="top"/>
          </w:tcPr>
          <w:p w14:paraId="4C712C0A">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szCs w:val="21"/>
                <w:highlight w:val="none"/>
              </w:rPr>
            </w:pPr>
          </w:p>
        </w:tc>
        <w:tc>
          <w:tcPr>
            <w:tcW w:w="2322" w:type="dxa"/>
            <w:tcBorders>
              <w:top w:val="nil"/>
              <w:left w:val="nil"/>
              <w:bottom w:val="nil"/>
              <w:right w:val="nil"/>
            </w:tcBorders>
            <w:vAlign w:val="top"/>
          </w:tcPr>
          <w:p w14:paraId="1C4B4775">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szCs w:val="21"/>
                <w:highlight w:val="none"/>
              </w:rPr>
            </w:pPr>
          </w:p>
        </w:tc>
      </w:tr>
      <w:tr w14:paraId="1FF53A24">
        <w:tblPrEx>
          <w:tblCellMar>
            <w:top w:w="0" w:type="dxa"/>
            <w:left w:w="108" w:type="dxa"/>
            <w:bottom w:w="0" w:type="dxa"/>
            <w:right w:w="108" w:type="dxa"/>
          </w:tblCellMar>
        </w:tblPrEx>
        <w:trPr>
          <w:trHeight w:val="0" w:hRule="atLeast"/>
          <w:jc w:val="center"/>
        </w:trPr>
        <w:tc>
          <w:tcPr>
            <w:tcW w:w="2321" w:type="dxa"/>
            <w:tcBorders>
              <w:top w:val="nil"/>
              <w:left w:val="nil"/>
              <w:bottom w:val="nil"/>
              <w:right w:val="nil"/>
            </w:tcBorders>
            <w:vAlign w:val="top"/>
          </w:tcPr>
          <w:p w14:paraId="58A22244">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w:t>
            </w:r>
          </w:p>
        </w:tc>
        <w:tc>
          <w:tcPr>
            <w:tcW w:w="2322" w:type="dxa"/>
            <w:tcBorders>
              <w:top w:val="nil"/>
              <w:left w:val="nil"/>
              <w:bottom w:val="nil"/>
              <w:right w:val="nil"/>
            </w:tcBorders>
            <w:vAlign w:val="top"/>
          </w:tcPr>
          <w:p w14:paraId="709A37F9">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szCs w:val="21"/>
                <w:highlight w:val="none"/>
              </w:rPr>
            </w:pPr>
          </w:p>
        </w:tc>
        <w:tc>
          <w:tcPr>
            <w:tcW w:w="2321" w:type="dxa"/>
            <w:tcBorders>
              <w:top w:val="nil"/>
              <w:left w:val="nil"/>
              <w:bottom w:val="nil"/>
              <w:right w:val="nil"/>
            </w:tcBorders>
            <w:vAlign w:val="top"/>
          </w:tcPr>
          <w:p w14:paraId="0C0BB851">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szCs w:val="21"/>
                <w:highlight w:val="none"/>
              </w:rPr>
            </w:pPr>
          </w:p>
        </w:tc>
        <w:tc>
          <w:tcPr>
            <w:tcW w:w="2322" w:type="dxa"/>
            <w:tcBorders>
              <w:top w:val="nil"/>
              <w:left w:val="nil"/>
              <w:bottom w:val="nil"/>
              <w:right w:val="nil"/>
            </w:tcBorders>
            <w:vAlign w:val="top"/>
          </w:tcPr>
          <w:p w14:paraId="63009F8F">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szCs w:val="21"/>
                <w:highlight w:val="none"/>
              </w:rPr>
            </w:pPr>
          </w:p>
        </w:tc>
      </w:tr>
      <w:tr w14:paraId="2524E873">
        <w:tblPrEx>
          <w:tblCellMar>
            <w:top w:w="0" w:type="dxa"/>
            <w:left w:w="108" w:type="dxa"/>
            <w:bottom w:w="0" w:type="dxa"/>
            <w:right w:w="108" w:type="dxa"/>
          </w:tblCellMar>
        </w:tblPrEx>
        <w:trPr>
          <w:trHeight w:val="0" w:hRule="atLeast"/>
          <w:jc w:val="center"/>
        </w:trPr>
        <w:tc>
          <w:tcPr>
            <w:tcW w:w="2321" w:type="dxa"/>
            <w:tcBorders>
              <w:top w:val="nil"/>
              <w:left w:val="nil"/>
              <w:bottom w:val="nil"/>
              <w:right w:val="nil"/>
            </w:tcBorders>
            <w:vAlign w:val="top"/>
          </w:tcPr>
          <w:p w14:paraId="606D389A">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w:t>
            </w:r>
          </w:p>
        </w:tc>
        <w:tc>
          <w:tcPr>
            <w:tcW w:w="2322" w:type="dxa"/>
            <w:tcBorders>
              <w:top w:val="nil"/>
              <w:left w:val="nil"/>
              <w:bottom w:val="nil"/>
              <w:right w:val="nil"/>
            </w:tcBorders>
            <w:vAlign w:val="top"/>
          </w:tcPr>
          <w:p w14:paraId="4525BA57">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szCs w:val="21"/>
                <w:highlight w:val="none"/>
              </w:rPr>
            </w:pPr>
          </w:p>
        </w:tc>
        <w:tc>
          <w:tcPr>
            <w:tcW w:w="2321" w:type="dxa"/>
            <w:tcBorders>
              <w:top w:val="nil"/>
              <w:left w:val="nil"/>
              <w:bottom w:val="nil"/>
              <w:right w:val="nil"/>
            </w:tcBorders>
            <w:vAlign w:val="top"/>
          </w:tcPr>
          <w:p w14:paraId="54C2CFBC">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szCs w:val="21"/>
                <w:highlight w:val="none"/>
              </w:rPr>
            </w:pPr>
          </w:p>
        </w:tc>
        <w:tc>
          <w:tcPr>
            <w:tcW w:w="2322" w:type="dxa"/>
            <w:tcBorders>
              <w:top w:val="nil"/>
              <w:left w:val="nil"/>
              <w:bottom w:val="nil"/>
              <w:right w:val="nil"/>
            </w:tcBorders>
            <w:vAlign w:val="top"/>
          </w:tcPr>
          <w:p w14:paraId="2AB9CF49">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color w:val="auto"/>
                <w:szCs w:val="21"/>
                <w:highlight w:val="none"/>
              </w:rPr>
            </w:pPr>
          </w:p>
        </w:tc>
      </w:tr>
    </w:tbl>
    <w:p w14:paraId="15F377B0">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auto"/>
          <w:szCs w:val="21"/>
          <w:highlight w:val="none"/>
        </w:rPr>
      </w:pPr>
    </w:p>
    <w:p w14:paraId="6A528261">
      <w:pPr>
        <w:keepNext w:val="0"/>
        <w:keepLines w:val="0"/>
        <w:pageBreakBefore w:val="0"/>
        <w:widowControl w:val="0"/>
        <w:kinsoku/>
        <w:wordWrap/>
        <w:overflowPunct/>
        <w:topLinePunct w:val="0"/>
        <w:autoSpaceDE/>
        <w:autoSpaceDN/>
        <w:bidi w:val="0"/>
        <w:spacing w:line="288" w:lineRule="auto"/>
        <w:ind w:hanging="41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4、本次采购要求的其他资格文件以及供应商认为需要声明的其他情况：</w:t>
      </w:r>
      <w:r>
        <w:rPr>
          <w:rFonts w:hint="eastAsia" w:ascii="宋体" w:hAnsi="宋体" w:eastAsia="宋体" w:cs="宋体"/>
          <w:color w:val="auto"/>
          <w:szCs w:val="21"/>
          <w:highlight w:val="none"/>
          <w:u w:val="single"/>
        </w:rPr>
        <w:t xml:space="preserve">                         </w:t>
      </w:r>
    </w:p>
    <w:p w14:paraId="5E218D1F">
      <w:pPr>
        <w:keepNext w:val="0"/>
        <w:keepLines w:val="0"/>
        <w:pageBreakBefore w:val="0"/>
        <w:widowControl w:val="0"/>
        <w:kinsoku/>
        <w:wordWrap/>
        <w:overflowPunct/>
        <w:topLinePunct w:val="0"/>
        <w:autoSpaceDE/>
        <w:autoSpaceDN/>
        <w:bidi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兹证明上述声明是真实的、正确的，并提供了全部能提供的资料和数据，我们同意遵照贵方要求出示有关证明文件，如有虚假，自愿丧失中标资格，一年内退出扬州采购市场。</w:t>
      </w:r>
    </w:p>
    <w:p w14:paraId="47A57A58">
      <w:pPr>
        <w:keepNext w:val="0"/>
        <w:keepLines w:val="0"/>
        <w:pageBreakBefore w:val="0"/>
        <w:widowControl w:val="0"/>
        <w:kinsoku/>
        <w:wordWrap/>
        <w:overflowPunct/>
        <w:topLinePunct w:val="0"/>
        <w:autoSpaceDE/>
        <w:autoSpaceDN/>
        <w:bidi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0CB1EBC3">
      <w:pPr>
        <w:keepNext w:val="0"/>
        <w:keepLines w:val="0"/>
        <w:pageBreakBefore w:val="0"/>
        <w:widowControl w:val="0"/>
        <w:kinsoku/>
        <w:wordWrap/>
        <w:overflowPunct/>
        <w:topLinePunct w:val="0"/>
        <w:autoSpaceDE/>
        <w:autoSpaceDN/>
        <w:bidi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法定代表人或授权代表签字：</w:t>
      </w:r>
      <w:r>
        <w:rPr>
          <w:rFonts w:hint="eastAsia" w:ascii="宋体" w:hAnsi="宋体" w:eastAsia="宋体" w:cs="宋体"/>
          <w:color w:val="auto"/>
          <w:szCs w:val="21"/>
          <w:highlight w:val="none"/>
          <w:u w:val="single"/>
        </w:rPr>
        <w:t xml:space="preserve">                          </w:t>
      </w:r>
    </w:p>
    <w:p w14:paraId="1F1E53BA">
      <w:pPr>
        <w:keepNext w:val="0"/>
        <w:keepLines w:val="0"/>
        <w:pageBreakBefore w:val="0"/>
        <w:widowControl w:val="0"/>
        <w:kinsoku/>
        <w:wordWrap/>
        <w:overflowPunct/>
        <w:topLinePunct w:val="0"/>
        <w:autoSpaceDE/>
        <w:autoSpaceDN/>
        <w:bidi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52441664">
      <w:pPr>
        <w:keepNext w:val="0"/>
        <w:keepLines w:val="0"/>
        <w:pageBreakBefore w:val="0"/>
        <w:widowControl w:val="0"/>
        <w:kinsoku/>
        <w:wordWrap/>
        <w:overflowPunct/>
        <w:topLinePunct w:val="0"/>
        <w:autoSpaceDE/>
        <w:autoSpaceDN/>
        <w:bidi w:val="0"/>
        <w:spacing w:line="288" w:lineRule="auto"/>
        <w:ind w:firstLine="420"/>
        <w:rPr>
          <w:rFonts w:hint="eastAsia" w:ascii="宋体" w:hAnsi="宋体" w:eastAsia="宋体" w:cs="宋体"/>
          <w:color w:val="auto"/>
          <w:kern w:val="1"/>
          <w:szCs w:val="21"/>
          <w:highlight w:val="none"/>
        </w:rPr>
      </w:pPr>
      <w:r>
        <w:rPr>
          <w:rFonts w:hint="eastAsia" w:ascii="宋体" w:hAnsi="宋体" w:eastAsia="宋体" w:cs="宋体"/>
          <w:b/>
          <w:bCs/>
          <w:color w:val="auto"/>
          <w:szCs w:val="21"/>
          <w:highlight w:val="none"/>
        </w:rPr>
        <w:t>（注：资格声明为格式文件,实质性内容请勿修改，否则将导致投标文件无效）</w:t>
      </w:r>
      <w:r>
        <w:rPr>
          <w:rFonts w:hint="eastAsia" w:ascii="宋体" w:hAnsi="宋体" w:eastAsia="宋体" w:cs="宋体"/>
          <w:color w:val="auto"/>
          <w:kern w:val="1"/>
          <w:szCs w:val="21"/>
          <w:highlight w:val="none"/>
        </w:rPr>
        <w:t xml:space="preserve"> </w:t>
      </w:r>
    </w:p>
    <w:p w14:paraId="4BCD0D76">
      <w:pPr>
        <w:keepNext w:val="0"/>
        <w:keepLines w:val="0"/>
        <w:pageBreakBefore w:val="0"/>
        <w:widowControl w:val="0"/>
        <w:kinsoku/>
        <w:wordWrap/>
        <w:overflowPunct/>
        <w:topLinePunct w:val="0"/>
        <w:autoSpaceDE/>
        <w:autoSpaceDN/>
        <w:bidi w:val="0"/>
        <w:spacing w:line="288" w:lineRule="auto"/>
        <w:ind w:firstLine="42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br w:type="page"/>
      </w:r>
    </w:p>
    <w:p w14:paraId="490E3AD4">
      <w:pPr>
        <w:spacing w:line="360" w:lineRule="auto"/>
        <w:jc w:val="center"/>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法人授权书</w:t>
      </w:r>
    </w:p>
    <w:p w14:paraId="5187DC70">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本授权书声明：______（供应商名称）授权____（被授权人的姓名）为我方就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号项目采购活动的合法代理人，以本公司名义全权处理一切与该项目采购有关的事务。</w:t>
      </w:r>
    </w:p>
    <w:p w14:paraId="17972EA7">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14:paraId="785A18E6">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65E273D">
      <w:pPr>
        <w:pStyle w:val="103"/>
        <w:tabs>
          <w:tab w:val="clear" w:pos="360"/>
        </w:tabs>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代理人（被授权人）：____________________________</w:t>
      </w:r>
    </w:p>
    <w:p w14:paraId="1055CA8A">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单位名称：_____________________________________</w:t>
      </w:r>
    </w:p>
    <w:p w14:paraId="00A9C620">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授权单位盖章：_________________________________</w:t>
      </w:r>
    </w:p>
    <w:p w14:paraId="08946AB2">
      <w:pPr>
        <w:pStyle w:val="103"/>
        <w:tabs>
          <w:tab w:val="clear" w:pos="360"/>
        </w:tabs>
        <w:spacing w:line="360" w:lineRule="auto"/>
        <w:ind w:firstLine="8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单位名称：_____________________________________</w:t>
      </w:r>
    </w:p>
    <w:p w14:paraId="2532CF7F">
      <w:pPr>
        <w:pStyle w:val="103"/>
        <w:tabs>
          <w:tab w:val="clear" w:pos="360"/>
        </w:tabs>
        <w:spacing w:line="360" w:lineRule="auto"/>
        <w:ind w:firstLine="8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551CDA06">
      <w:pPr>
        <w:pStyle w:val="103"/>
        <w:tabs>
          <w:tab w:val="clear" w:pos="360"/>
        </w:tabs>
        <w:spacing w:line="360" w:lineRule="auto"/>
        <w:ind w:firstLine="8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bookmarkStart w:id="143" w:name="_Hlt26955070"/>
      <w:bookmarkEnd w:id="143"/>
      <w:bookmarkStart w:id="144" w:name="_Hlt26671380"/>
      <w:bookmarkEnd w:id="144"/>
      <w:bookmarkStart w:id="145" w:name="_格式3__银行出具的资信证明"/>
      <w:bookmarkEnd w:id="145"/>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A1E7040">
      <w:pPr>
        <w:spacing w:line="360" w:lineRule="auto"/>
        <w:rPr>
          <w:rFonts w:hint="eastAsia" w:ascii="宋体" w:hAnsi="宋体" w:eastAsia="宋体" w:cs="宋体"/>
          <w:color w:val="auto"/>
          <w:kern w:val="1"/>
          <w:sz w:val="24"/>
          <w:highlight w:val="none"/>
        </w:rPr>
      </w:pPr>
    </w:p>
    <w:p w14:paraId="2184581A">
      <w:pPr>
        <w:spacing w:line="360" w:lineRule="auto"/>
        <w:ind w:firstLine="42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被授权人身份证正反面复印件：</w:t>
      </w:r>
    </w:p>
    <w:p w14:paraId="4B6CC7EB">
      <w:pPr>
        <w:spacing w:line="360" w:lineRule="auto"/>
        <w:jc w:val="center"/>
        <w:rPr>
          <w:rFonts w:hint="eastAsia" w:ascii="宋体" w:hAnsi="宋体" w:eastAsia="宋体" w:cs="宋体"/>
          <w:b/>
          <w:color w:val="auto"/>
          <w:kern w:val="1"/>
          <w:szCs w:val="21"/>
          <w:highlight w:val="none"/>
        </w:rPr>
      </w:pPr>
      <w:r>
        <w:rPr>
          <w:rFonts w:hint="eastAsia" w:ascii="宋体" w:hAnsi="宋体" w:eastAsia="宋体" w:cs="宋体"/>
          <w:color w:val="auto"/>
          <w:kern w:val="1"/>
          <w:sz w:val="24"/>
          <w:highlight w:val="none"/>
        </w:rPr>
        <w:br w:type="page"/>
      </w:r>
      <w:r>
        <w:rPr>
          <w:rFonts w:hint="eastAsia" w:ascii="宋体" w:hAnsi="宋体" w:eastAsia="宋体" w:cs="宋体"/>
          <w:b/>
          <w:color w:val="auto"/>
          <w:kern w:val="1"/>
          <w:szCs w:val="21"/>
          <w:highlight w:val="none"/>
        </w:rPr>
        <w:t>参加采购活动前3年内在经营活动中没有重大违法记录的书面声明</w:t>
      </w:r>
    </w:p>
    <w:p w14:paraId="57C548A2">
      <w:pPr>
        <w:spacing w:line="360" w:lineRule="auto"/>
        <w:jc w:val="center"/>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声  明</w:t>
      </w:r>
    </w:p>
    <w:p w14:paraId="73B8DC69">
      <w:pPr>
        <w:spacing w:line="360" w:lineRule="auto"/>
        <w:rPr>
          <w:rFonts w:hint="eastAsia" w:ascii="宋体" w:hAnsi="宋体" w:eastAsia="宋体" w:cs="宋体"/>
          <w:color w:val="auto"/>
          <w:kern w:val="1"/>
          <w:szCs w:val="21"/>
          <w:highlight w:val="none"/>
        </w:rPr>
      </w:pPr>
      <w:r>
        <w:rPr>
          <w:rFonts w:hint="eastAsia" w:ascii="宋体" w:hAnsi="宋体" w:eastAsia="宋体" w:cs="宋体"/>
          <w:b/>
          <w:color w:val="auto"/>
          <w:kern w:val="1"/>
          <w:szCs w:val="21"/>
          <w:highlight w:val="none"/>
        </w:rPr>
        <w:t xml:space="preserve">   </w:t>
      </w:r>
      <w:r>
        <w:rPr>
          <w:rFonts w:hint="eastAsia" w:ascii="宋体" w:hAnsi="宋体" w:eastAsia="宋体" w:cs="宋体"/>
          <w:color w:val="auto"/>
          <w:kern w:val="1"/>
          <w:szCs w:val="21"/>
          <w:highlight w:val="none"/>
        </w:rPr>
        <w:t xml:space="preserve"> 我公司郑重声明：参加本次采购活动前3年内，我公司在经营活动中没有因违法经营受到刑事处罚或者责令停产停业、吊销许可证或者执照</w:t>
      </w:r>
      <w:r>
        <w:rPr>
          <w:rFonts w:hint="eastAsia" w:ascii="宋体" w:hAnsi="宋体" w:eastAsia="宋体" w:cs="宋体"/>
          <w:color w:val="auto"/>
          <w:kern w:val="1"/>
          <w:szCs w:val="21"/>
          <w:highlight w:val="none"/>
          <w:lang w:val="en-US" w:eastAsia="zh-CN"/>
        </w:rPr>
        <w:t>的</w:t>
      </w:r>
      <w:r>
        <w:rPr>
          <w:rFonts w:hint="eastAsia" w:ascii="宋体" w:hAnsi="宋体" w:eastAsia="宋体" w:cs="宋体"/>
          <w:color w:val="auto"/>
          <w:kern w:val="1"/>
          <w:szCs w:val="21"/>
          <w:highlight w:val="none"/>
        </w:rPr>
        <w:t>行政处罚。</w:t>
      </w:r>
    </w:p>
    <w:p w14:paraId="7C3E8BB8">
      <w:pPr>
        <w:spacing w:line="360" w:lineRule="auto"/>
        <w:ind w:firstLine="4410" w:firstLineChars="21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                                    </w:t>
      </w:r>
    </w:p>
    <w:p w14:paraId="700A7135">
      <w:pPr>
        <w:spacing w:line="360" w:lineRule="auto"/>
        <w:ind w:firstLine="4410" w:firstLineChars="2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供应商名称（公章）：</w:t>
      </w:r>
    </w:p>
    <w:p w14:paraId="7F4E919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法定代表人或授权代表签字：______</w:t>
      </w:r>
    </w:p>
    <w:p w14:paraId="23BF6A6B">
      <w:pPr>
        <w:spacing w:line="360" w:lineRule="auto"/>
        <w:rPr>
          <w:rFonts w:hint="eastAsia" w:ascii="宋体" w:hAnsi="宋体" w:eastAsia="宋体" w:cs="宋体"/>
          <w:color w:val="auto"/>
          <w:kern w:val="1"/>
          <w:szCs w:val="21"/>
          <w:highlight w:val="none"/>
        </w:rPr>
      </w:pPr>
      <w:r>
        <w:rPr>
          <w:rFonts w:hint="eastAsia" w:ascii="宋体" w:hAnsi="宋体" w:eastAsia="宋体" w:cs="宋体"/>
          <w:bCs/>
          <w:color w:val="auto"/>
          <w:szCs w:val="21"/>
          <w:highlight w:val="none"/>
        </w:rPr>
        <w:t xml:space="preserve">                                          日期：______年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66420126">
      <w:pPr>
        <w:spacing w:line="360" w:lineRule="auto"/>
        <w:jc w:val="center"/>
        <w:rPr>
          <w:rFonts w:hint="eastAsia" w:ascii="宋体" w:hAnsi="宋体" w:eastAsia="宋体" w:cs="宋体"/>
          <w:b/>
          <w:color w:val="auto"/>
          <w:kern w:val="1"/>
          <w:szCs w:val="21"/>
          <w:highlight w:val="none"/>
        </w:rPr>
      </w:pPr>
      <w:r>
        <w:rPr>
          <w:rFonts w:hint="eastAsia" w:ascii="宋体" w:hAnsi="宋体" w:eastAsia="宋体" w:cs="宋体"/>
          <w:color w:val="auto"/>
          <w:kern w:val="1"/>
          <w:szCs w:val="21"/>
          <w:highlight w:val="none"/>
        </w:rPr>
        <w:br w:type="page"/>
      </w:r>
      <w:r>
        <w:rPr>
          <w:rFonts w:hint="eastAsia" w:ascii="宋体" w:hAnsi="宋体" w:eastAsia="宋体" w:cs="宋体"/>
          <w:b/>
          <w:color w:val="auto"/>
          <w:kern w:val="1"/>
          <w:szCs w:val="21"/>
          <w:highlight w:val="none"/>
        </w:rPr>
        <w:t>中小企业声明函（工程、服务）</w:t>
      </w:r>
    </w:p>
    <w:p w14:paraId="4B142E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CCFC361">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b/>
          <w:bCs/>
          <w:color w:val="auto"/>
          <w:highlight w:val="none"/>
          <w:u w:val="single"/>
        </w:rPr>
        <w:t>（</w:t>
      </w:r>
      <w:r>
        <w:rPr>
          <w:rFonts w:hint="eastAsia" w:ascii="宋体" w:hAnsi="宋体" w:eastAsia="宋体" w:cs="宋体"/>
          <w:b/>
          <w:bCs/>
          <w:color w:val="auto"/>
          <w:highlight w:val="none"/>
          <w:u w:val="single"/>
          <w:lang w:val="en-US" w:eastAsia="zh-CN"/>
        </w:rPr>
        <w:t>其他未列明行业</w:t>
      </w:r>
      <w:r>
        <w:rPr>
          <w:rFonts w:hint="eastAsia" w:ascii="宋体" w:hAnsi="宋体" w:eastAsia="宋体" w:cs="宋体"/>
          <w:b/>
          <w:bCs/>
          <w:color w:val="auto"/>
          <w:highlight w:val="none"/>
          <w:u w:val="single"/>
        </w:rPr>
        <w:t>）</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lang w:eastAsia="en-US"/>
        </w:rPr>
        <w:fldChar w:fldCharType="begin"/>
      </w:r>
      <w:r>
        <w:rPr>
          <w:rFonts w:hint="eastAsia" w:ascii="宋体" w:hAnsi="宋体" w:eastAsia="宋体" w:cs="宋体"/>
          <w:color w:val="auto"/>
          <w:highlight w:val="none"/>
        </w:rPr>
        <w:instrText xml:space="preserve"> HYPERLINK "file:///E:\\政府采购\\2021\\002%20香茗湖壹号南侧地块考古地表清理、勘探配合、发掘配合项目\\2%20磋商文件\\磋商文件%20（%20香茗湖壹号南侧地块考古地表清理、勘探配合、发掘配合）.doc" \l "br1" </w:instrText>
      </w:r>
      <w:r>
        <w:rPr>
          <w:rFonts w:hint="eastAsia" w:ascii="宋体" w:hAnsi="宋体" w:eastAsia="宋体" w:cs="宋体"/>
          <w:color w:val="auto"/>
          <w:highlight w:val="none"/>
          <w:lang w:eastAsia="en-US"/>
        </w:rPr>
        <w:fldChar w:fldCharType="separate"/>
      </w:r>
      <w:r>
        <w:rPr>
          <w:rStyle w:val="52"/>
          <w:rFonts w:hint="eastAsia" w:ascii="宋体" w:hAnsi="宋体" w:eastAsia="宋体" w:cs="宋体"/>
          <w:color w:val="auto"/>
          <w:spacing w:val="-1"/>
          <w:highlight w:val="none"/>
          <w:vertAlign w:val="superscript"/>
        </w:rPr>
        <w:t>1</w:t>
      </w:r>
      <w:r>
        <w:rPr>
          <w:rFonts w:hint="eastAsia" w:ascii="宋体" w:hAnsi="宋体" w:eastAsia="宋体" w:cs="宋体"/>
          <w:color w:val="auto"/>
          <w:highlight w:val="none"/>
          <w:lang w:eastAsia="en-US"/>
        </w:rPr>
        <w:fldChar w:fldCharType="end"/>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p>
    <w:p w14:paraId="08AC513E">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 xml:space="preserve"> ，属于</w:t>
      </w:r>
      <w:r>
        <w:rPr>
          <w:rFonts w:hint="eastAsia" w:ascii="宋体" w:hAnsi="宋体" w:eastAsia="宋体" w:cs="宋体"/>
          <w:b/>
          <w:bCs/>
          <w:color w:val="auto"/>
          <w:highlight w:val="none"/>
          <w:u w:val="single"/>
        </w:rPr>
        <w:t>（</w:t>
      </w:r>
      <w:r>
        <w:rPr>
          <w:rFonts w:hint="eastAsia" w:ascii="宋体" w:hAnsi="宋体" w:eastAsia="宋体" w:cs="宋体"/>
          <w:b/>
          <w:bCs/>
          <w:color w:val="auto"/>
          <w:highlight w:val="none"/>
          <w:u w:val="single"/>
          <w:lang w:val="en-US" w:eastAsia="zh-CN"/>
        </w:rPr>
        <w:t>其他未列明行业</w:t>
      </w:r>
      <w:r>
        <w:rPr>
          <w:rFonts w:hint="eastAsia" w:ascii="宋体" w:hAnsi="宋体" w:eastAsia="宋体" w:cs="宋体"/>
          <w:b/>
          <w:bCs/>
          <w:color w:val="auto"/>
          <w:highlight w:val="none"/>
          <w:u w:val="single"/>
        </w:rPr>
        <w:t>）</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p>
    <w:p w14:paraId="2AE4130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2634B50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6D9C47D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564B0FCC">
      <w:pPr>
        <w:spacing w:line="360" w:lineRule="auto"/>
        <w:ind w:firstLine="420" w:firstLineChars="200"/>
        <w:jc w:val="left"/>
        <w:rPr>
          <w:rFonts w:hint="eastAsia" w:ascii="宋体" w:hAnsi="宋体" w:eastAsia="宋体" w:cs="宋体"/>
          <w:color w:val="auto"/>
          <w:highlight w:val="none"/>
        </w:rPr>
      </w:pPr>
    </w:p>
    <w:p w14:paraId="10B2C5F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注：1、供应商如不提供此声明函，价格将不做相应扣除。</w:t>
      </w:r>
    </w:p>
    <w:p w14:paraId="229445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2、企业声明函请完整填写，中标后将公示。</w:t>
      </w:r>
    </w:p>
    <w:p w14:paraId="711AF67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6E57952">
      <w:pPr>
        <w:spacing w:line="360" w:lineRule="auto"/>
        <w:ind w:firstLine="420" w:firstLineChars="200"/>
        <w:jc w:val="left"/>
        <w:rPr>
          <w:rFonts w:hint="eastAsia" w:ascii="宋体" w:hAnsi="宋体" w:eastAsia="宋体" w:cs="宋体"/>
          <w:color w:val="auto"/>
          <w:highlight w:val="none"/>
        </w:rPr>
      </w:pPr>
    </w:p>
    <w:p w14:paraId="0847D536">
      <w:pPr>
        <w:spacing w:line="360" w:lineRule="auto"/>
        <w:ind w:firstLine="420" w:firstLineChars="200"/>
        <w:jc w:val="left"/>
        <w:rPr>
          <w:rFonts w:hint="eastAsia" w:ascii="宋体" w:hAnsi="宋体" w:eastAsia="宋体" w:cs="宋体"/>
          <w:color w:val="auto"/>
          <w:highlight w:val="none"/>
        </w:rPr>
      </w:pPr>
    </w:p>
    <w:p w14:paraId="3A25410D">
      <w:pPr>
        <w:spacing w:line="360" w:lineRule="auto"/>
        <w:ind w:firstLine="420" w:firstLineChars="200"/>
        <w:jc w:val="left"/>
        <w:rPr>
          <w:rFonts w:hint="eastAsia" w:ascii="宋体" w:hAnsi="宋体" w:eastAsia="宋体" w:cs="宋体"/>
          <w:color w:val="auto"/>
          <w:highlight w:val="none"/>
        </w:rPr>
      </w:pPr>
    </w:p>
    <w:p w14:paraId="37DBBEC1">
      <w:pPr>
        <w:spacing w:line="360" w:lineRule="auto"/>
        <w:ind w:firstLine="4620" w:firstLineChars="2200"/>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3FB25831">
      <w:pPr>
        <w:spacing w:line="360" w:lineRule="auto"/>
        <w:ind w:firstLine="4620" w:firstLineChars="2200"/>
        <w:jc w:val="left"/>
        <w:rPr>
          <w:rFonts w:hint="eastAsia" w:ascii="宋体" w:hAnsi="宋体" w:eastAsia="宋体" w:cs="宋体"/>
          <w:color w:val="auto"/>
          <w:highlight w:val="none"/>
        </w:rPr>
      </w:pPr>
      <w:r>
        <w:rPr>
          <w:rFonts w:hint="eastAsia" w:ascii="宋体" w:hAnsi="宋体" w:eastAsia="宋体" w:cs="宋体"/>
          <w:color w:val="auto"/>
          <w:highlight w:val="none"/>
        </w:rPr>
        <w:t>日 期：</w:t>
      </w:r>
    </w:p>
    <w:p w14:paraId="66C72B1F">
      <w:pPr>
        <w:spacing w:line="360" w:lineRule="auto"/>
        <w:ind w:firstLine="4620" w:firstLineChars="2200"/>
        <w:jc w:val="left"/>
        <w:rPr>
          <w:rFonts w:hint="eastAsia" w:ascii="宋体" w:hAnsi="宋体" w:eastAsia="宋体" w:cs="宋体"/>
          <w:color w:val="auto"/>
          <w:highlight w:val="none"/>
        </w:rPr>
      </w:pPr>
    </w:p>
    <w:p w14:paraId="15BCB0F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1从业人员、营业收入、资产总额填报上一年度数据，无上一年度数据的新成立企业可不填报。</w:t>
      </w:r>
    </w:p>
    <w:p w14:paraId="1A96AF11">
      <w:pPr>
        <w:spacing w:line="360" w:lineRule="auto"/>
        <w:ind w:firstLine="4620" w:firstLineChars="2200"/>
        <w:jc w:val="left"/>
        <w:rPr>
          <w:rFonts w:hint="eastAsia" w:ascii="宋体" w:hAnsi="宋体" w:eastAsia="宋体" w:cs="宋体"/>
          <w:color w:val="auto"/>
          <w:highlight w:val="none"/>
        </w:rPr>
      </w:pPr>
    </w:p>
    <w:p w14:paraId="4C7246DA">
      <w:pPr>
        <w:spacing w:line="360" w:lineRule="auto"/>
        <w:jc w:val="center"/>
        <w:rPr>
          <w:rFonts w:hint="eastAsia" w:ascii="宋体" w:hAnsi="宋体" w:eastAsia="宋体" w:cs="宋体"/>
          <w:color w:val="auto"/>
          <w:kern w:val="1"/>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1"/>
          <w:szCs w:val="21"/>
          <w:highlight w:val="none"/>
        </w:rPr>
        <w:t>残疾人福利性单位声明函</w:t>
      </w:r>
    </w:p>
    <w:p w14:paraId="59E3392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本公司郑重声明，根据《财政部  民政部  中国残疾人联合会关于促进残疾人就业政府采购政策的通知》（财库〔2017〕141号）的规定，本单位为符合条件的残疾人福利性单位，且本单位参加贵单位采购编号为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项目采购活动提供本单位制造的货物（由本单位承担工程/提供服务），或者提供其他残疾人福利性单位制造的货物（不包括使用非残疾人福利性单位注册商标的货物）。  </w:t>
      </w:r>
    </w:p>
    <w:p w14:paraId="3C5101C1">
      <w:pPr>
        <w:spacing w:line="360" w:lineRule="auto"/>
        <w:ind w:firstLine="42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本公司对上述声明的真实性负责。如有虚假，将依法承担相应责任。</w:t>
      </w:r>
    </w:p>
    <w:p w14:paraId="7BF6FF90">
      <w:pPr>
        <w:spacing w:line="360" w:lineRule="auto"/>
        <w:ind w:firstLine="420"/>
        <w:rPr>
          <w:rFonts w:hint="eastAsia" w:ascii="宋体" w:hAnsi="宋体" w:eastAsia="宋体" w:cs="宋体"/>
          <w:color w:val="auto"/>
          <w:kern w:val="1"/>
          <w:szCs w:val="21"/>
          <w:highlight w:val="none"/>
        </w:rPr>
      </w:pPr>
    </w:p>
    <w:p w14:paraId="36E3AC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（备注：1、供应商如不提供此声明函，价格将不做相应扣除。2、中标供应商为残疾人福利单位的，此声明函将随中标结果同时公告，接受社会监督）</w:t>
      </w:r>
    </w:p>
    <w:p w14:paraId="65CE2165">
      <w:pPr>
        <w:spacing w:line="360" w:lineRule="auto"/>
        <w:ind w:firstLine="420"/>
        <w:rPr>
          <w:rFonts w:hint="eastAsia" w:ascii="宋体" w:hAnsi="宋体" w:eastAsia="宋体" w:cs="宋体"/>
          <w:color w:val="auto"/>
          <w:kern w:val="1"/>
          <w:szCs w:val="21"/>
          <w:highlight w:val="none"/>
        </w:rPr>
      </w:pPr>
    </w:p>
    <w:p w14:paraId="09AFE7D9">
      <w:pPr>
        <w:spacing w:line="360" w:lineRule="auto"/>
        <w:ind w:firstLine="420"/>
        <w:rPr>
          <w:rFonts w:hint="eastAsia" w:ascii="宋体" w:hAnsi="宋体" w:eastAsia="宋体" w:cs="宋体"/>
          <w:color w:val="auto"/>
          <w:kern w:val="1"/>
          <w:szCs w:val="21"/>
          <w:highlight w:val="none"/>
        </w:rPr>
      </w:pPr>
    </w:p>
    <w:p w14:paraId="17DCB555">
      <w:pPr>
        <w:spacing w:line="360" w:lineRule="auto"/>
        <w:ind w:firstLine="420"/>
        <w:rPr>
          <w:rFonts w:hint="eastAsia" w:ascii="宋体" w:hAnsi="宋体" w:eastAsia="宋体" w:cs="宋体"/>
          <w:color w:val="auto"/>
          <w:kern w:val="1"/>
          <w:szCs w:val="21"/>
          <w:highlight w:val="none"/>
        </w:rPr>
      </w:pPr>
    </w:p>
    <w:p w14:paraId="6030435C">
      <w:pPr>
        <w:spacing w:line="360" w:lineRule="auto"/>
        <w:ind w:firstLine="42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企业名称(盖章)：</w:t>
      </w:r>
    </w:p>
    <w:p w14:paraId="2B676C42">
      <w:pPr>
        <w:pStyle w:val="2"/>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6D0F521B">
      <w:pPr>
        <w:spacing w:line="360" w:lineRule="auto"/>
        <w:jc w:val="center"/>
        <w:rPr>
          <w:rFonts w:hint="eastAsia" w:ascii="宋体" w:hAnsi="宋体" w:eastAsia="宋体" w:cs="宋体"/>
          <w:color w:val="auto"/>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Cs w:val="21"/>
          <w:highlight w:val="none"/>
        </w:rPr>
        <w:t>供应商信用承诺书</w:t>
      </w:r>
    </w:p>
    <w:p w14:paraId="2AA702EB">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承诺主体名称：</w:t>
      </w:r>
    </w:p>
    <w:p w14:paraId="00D0F6EC">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统一社会信用代码：</w:t>
      </w:r>
    </w:p>
    <w:p w14:paraId="391CDCB0">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为维护公平竞争、规范有序的市场秩序，营造诚实守信的信用环境，共同推进社会信用体系建设完善，树立企业诚信守法形象，本企业对________________________项目采购活动郑重承诺如下:</w:t>
      </w:r>
    </w:p>
    <w:p w14:paraId="50C317A8">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一、对提供给注册登记部门、行业管理部门、司法部门、行业组织以及在采购活动中提交的所有资料的合法性、真实性、准确性和有效性负责；</w:t>
      </w:r>
    </w:p>
    <w:p w14:paraId="1A001CC7">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二、严格按照国家法律、法规和规章开展采购活动，全面履行应尽的责任和义务，全面做到履约守信，具备采购法第二十二条第一款规定的条件;</w:t>
      </w:r>
    </w:p>
    <w:p w14:paraId="0E43B8D2">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三、严格依法开展生产经营活动，主动接受行业监管，自愿接受依法开展的日常检查；违法失信经营后将自愿接受约束和惩戒，并依法承担相应责任；</w:t>
      </w:r>
    </w:p>
    <w:p w14:paraId="49593E9E">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四、自觉接受行政管理部门、行业组织、社会公众、新闻舆论的监督；</w:t>
      </w:r>
    </w:p>
    <w:p w14:paraId="4A3F7CA1">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五、自觉做到自我约束、自我管理，不制假售假、商标侵权、虚假宣传、违约毁约、恶意逃债、偷税漏税、垄断和不正当竞争，维护经营者、消费者的合法权益；</w:t>
      </w:r>
    </w:p>
    <w:p w14:paraId="3597ABB9">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六、提出采购质疑和投诉坚持依法依规、诚实信用原则，在全国范围12个月内没有三次以上查无实据的采购投诉；</w:t>
      </w:r>
    </w:p>
    <w:p w14:paraId="1580E9C2">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七、严格遵守信用信息公示相关规定，向社会公示信用信息；</w:t>
      </w:r>
    </w:p>
    <w:p w14:paraId="47347259">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八、在“信用中国”和“中国政府采购网”网站中无违法违规、较重或严重失信记录；</w:t>
      </w:r>
    </w:p>
    <w:p w14:paraId="1E363481">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2C808822">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十、本承诺书自签订之日起生效。</w:t>
      </w:r>
    </w:p>
    <w:p w14:paraId="1F92A7A4">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 （注：法定代表人或负责人、主体名称发生变更的应当重新做出承诺。）</w:t>
      </w:r>
    </w:p>
    <w:p w14:paraId="7973D7C4">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承诺单位（签章）：           　　　　　　法定代表人（负责人）：</w:t>
      </w:r>
    </w:p>
    <w:p w14:paraId="366EBAEA">
      <w:pPr>
        <w:pStyle w:val="2"/>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32"/>
          <w:highlight w:val="none"/>
        </w:rPr>
        <w:t>　　　　　　　　　      　                     年    月    日</w:t>
      </w:r>
    </w:p>
    <w:p w14:paraId="0CC3349F">
      <w:pPr>
        <w:pStyle w:val="2"/>
        <w:spacing w:line="360" w:lineRule="auto"/>
        <w:ind w:firstLine="420"/>
        <w:jc w:val="center"/>
        <w:rPr>
          <w:rFonts w:hint="eastAsia" w:ascii="宋体" w:hAnsi="宋体" w:eastAsia="宋体" w:cs="宋体"/>
          <w:b/>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b/>
          <w:color w:val="auto"/>
          <w:szCs w:val="21"/>
          <w:highlight w:val="none"/>
        </w:rPr>
        <w:t xml:space="preserve"> 三、磋商响应函</w:t>
      </w:r>
    </w:p>
    <w:p w14:paraId="5AFCFA27">
      <w:pPr>
        <w:pStyle w:val="103"/>
        <w:tabs>
          <w:tab w:val="clear" w:pos="360"/>
        </w:tabs>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江苏志诚工程咨询管理有限公司</w:t>
      </w:r>
    </w:p>
    <w:p w14:paraId="1A99E33B">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号磋商文件，正式授权下述签字人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(姓名和职务)代表我方___（供应商的名称），全权处理本次项目磋商采购的有关事宜。</w:t>
      </w:r>
    </w:p>
    <w:p w14:paraId="3365EA79">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据此函，__________（签字人）兹宣布同意如下：</w:t>
      </w:r>
    </w:p>
    <w:p w14:paraId="752E4294">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1.按磋商文件规定的各项要求，向买方提供所需服务/工程。</w:t>
      </w:r>
    </w:p>
    <w:p w14:paraId="1271A57E">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2.我们已详细审核全部磋商文件及其有效补充文件，我们知道必须放弃提出含糊不清或误解问题的权利。</w:t>
      </w:r>
    </w:p>
    <w:p w14:paraId="1D189892">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3.我们同意从规定的响应文件接收截止时间起遵循本响应文件，并在规定的磋商有效期期满之前均具有约束力。</w:t>
      </w:r>
    </w:p>
    <w:p w14:paraId="235CD9A4">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4.如果在响应文件接收截止时间后规定的磋商有效期内撤回响应文件或成交后拒绝签订合同，我们的磋商保证金可被贵方没收。</w:t>
      </w:r>
    </w:p>
    <w:p w14:paraId="4AB54A50">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5.同意向贵方提供贵方可能另外要求的与磋商采购有关的任何证据或资料，并保证我方已提供和将要提供的文件是真实的、准确的。</w:t>
      </w:r>
    </w:p>
    <w:p w14:paraId="2CAFEEF1">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6.一旦我方成交，我方将根据磋商文件的规定，严格履行合同的责任和义务，并保证在磋商文件规定的时间完成项目，交付买方验收、使用。</w:t>
      </w:r>
    </w:p>
    <w:p w14:paraId="34EFC228">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7.遵守磋商文件中要求的收费项目和标准。</w:t>
      </w:r>
    </w:p>
    <w:p w14:paraId="47930A9B">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8.与本磋商采购有关的正式通讯地址为：</w:t>
      </w:r>
    </w:p>
    <w:p w14:paraId="54C912F7">
      <w:pPr>
        <w:pStyle w:val="103"/>
        <w:tabs>
          <w:tab w:val="clear" w:pos="360"/>
        </w:tabs>
        <w:spacing w:line="360" w:lineRule="auto"/>
        <w:ind w:firstLine="420"/>
        <w:rPr>
          <w:rFonts w:hint="eastAsia" w:ascii="宋体" w:hAnsi="宋体" w:eastAsia="宋体" w:cs="宋体"/>
          <w:color w:val="auto"/>
          <w:sz w:val="21"/>
          <w:szCs w:val="21"/>
          <w:highlight w:val="none"/>
        </w:rPr>
      </w:pPr>
    </w:p>
    <w:p w14:paraId="00F5F550">
      <w:pPr>
        <w:pStyle w:val="103"/>
        <w:tabs>
          <w:tab w:val="clear" w:pos="360"/>
        </w:tabs>
        <w:spacing w:line="360" w:lineRule="auto"/>
        <w:ind w:firstLine="420"/>
        <w:rPr>
          <w:rFonts w:hint="eastAsia" w:ascii="宋体" w:hAnsi="宋体" w:eastAsia="宋体" w:cs="宋体"/>
          <w:color w:val="auto"/>
          <w:sz w:val="21"/>
          <w:szCs w:val="21"/>
          <w:highlight w:val="none"/>
        </w:rPr>
      </w:pPr>
    </w:p>
    <w:p w14:paraId="63721328">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                         邮 编：</w:t>
      </w:r>
    </w:p>
    <w:p w14:paraId="5C6D5661">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w:t>
      </w:r>
    </w:p>
    <w:p w14:paraId="6DFF7447">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供应商开户行：                  账 户：</w:t>
      </w:r>
    </w:p>
    <w:p w14:paraId="2F05C719">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法定代表人或授权代表姓名（签字）：     联系电话：</w:t>
      </w:r>
    </w:p>
    <w:p w14:paraId="2731AFA6">
      <w:pPr>
        <w:pStyle w:val="103"/>
        <w:tabs>
          <w:tab w:val="clear" w:pos="36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w:t>
      </w:r>
    </w:p>
    <w:p w14:paraId="4768B232">
      <w:pPr>
        <w:pStyle w:val="2"/>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期：________年____月____日</w:t>
      </w:r>
    </w:p>
    <w:p w14:paraId="4F87C9A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4"/>
          <w:highlight w:val="none"/>
        </w:rPr>
        <w:t>四、磋商响应报价表</w:t>
      </w:r>
    </w:p>
    <w:p w14:paraId="68892A39">
      <w:pPr>
        <w:pStyle w:val="28"/>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49A51828">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7DB4D221">
      <w:pPr>
        <w:pStyle w:val="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本次为首次报价</w:t>
      </w:r>
      <w:r>
        <w:rPr>
          <w:rFonts w:hint="eastAsia" w:ascii="宋体" w:hAnsi="宋体" w:eastAsia="宋体" w:cs="宋体"/>
          <w:color w:val="auto"/>
          <w:szCs w:val="21"/>
          <w:highlight w:val="none"/>
        </w:rPr>
        <w:t xml:space="preserve"> </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27"/>
        <w:gridCol w:w="7412"/>
      </w:tblGrid>
      <w:tr w14:paraId="49335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227" w:type="dxa"/>
            <w:vAlign w:val="center"/>
          </w:tcPr>
          <w:p w14:paraId="77E8B73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412" w:type="dxa"/>
            <w:vAlign w:val="center"/>
          </w:tcPr>
          <w:p w14:paraId="4185BC2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第一轮报价</w:t>
            </w:r>
          </w:p>
        </w:tc>
      </w:tr>
      <w:tr w14:paraId="74580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6" w:hRule="exact"/>
          <w:jc w:val="center"/>
        </w:trPr>
        <w:tc>
          <w:tcPr>
            <w:tcW w:w="2227" w:type="dxa"/>
            <w:vAlign w:val="center"/>
          </w:tcPr>
          <w:p w14:paraId="2F629D0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7412" w:type="dxa"/>
            <w:vAlign w:val="top"/>
          </w:tcPr>
          <w:p w14:paraId="227A536C">
            <w:pPr>
              <w:keepNext w:val="0"/>
              <w:keepLines w:val="0"/>
              <w:suppressLineNumbers w:val="0"/>
              <w:spacing w:before="0" w:beforeAutospacing="0" w:after="0" w:afterAutospacing="0" w:line="360" w:lineRule="auto"/>
              <w:ind w:left="0" w:right="0"/>
              <w:rPr>
                <w:rFonts w:hint="eastAsia"/>
                <w:color w:val="auto"/>
                <w:highlight w:val="none"/>
              </w:rPr>
            </w:pPr>
          </w:p>
          <w:p w14:paraId="5AF4A6BE">
            <w:pPr>
              <w:keepNext w:val="0"/>
              <w:keepLines w:val="0"/>
              <w:suppressLineNumbers w:val="0"/>
              <w:spacing w:before="0" w:beforeAutospacing="0" w:after="0" w:afterAutospacing="0" w:line="360" w:lineRule="auto"/>
              <w:ind w:left="0" w:right="0"/>
              <w:rPr>
                <w:rFonts w:hint="eastAsia"/>
                <w:color w:val="auto"/>
                <w:highlight w:val="none"/>
                <w:u w:val="single"/>
              </w:rPr>
            </w:pPr>
            <w:r>
              <w:rPr>
                <w:rFonts w:hint="eastAsia"/>
                <w:color w:val="auto"/>
                <w:highlight w:val="none"/>
              </w:rPr>
              <w:t>大写：</w:t>
            </w:r>
          </w:p>
          <w:p w14:paraId="5CAF447C">
            <w:pPr>
              <w:keepNext w:val="0"/>
              <w:keepLines w:val="0"/>
              <w:suppressLineNumbers w:val="0"/>
              <w:spacing w:before="0" w:beforeAutospacing="0" w:after="0" w:afterAutospacing="0" w:line="360" w:lineRule="auto"/>
              <w:ind w:left="0" w:right="0"/>
              <w:rPr>
                <w:rFonts w:hint="eastAsia"/>
                <w:color w:val="auto"/>
                <w:highlight w:val="none"/>
              </w:rPr>
            </w:pPr>
          </w:p>
          <w:p w14:paraId="484AB698">
            <w:pPr>
              <w:keepNext w:val="0"/>
              <w:keepLines w:val="0"/>
              <w:suppressLineNumbers w:val="0"/>
              <w:spacing w:before="0" w:beforeAutospacing="0" w:after="0" w:afterAutospacing="0" w:line="360" w:lineRule="auto"/>
              <w:ind w:left="0" w:right="0"/>
              <w:rPr>
                <w:rFonts w:hint="eastAsia"/>
                <w:color w:val="auto"/>
                <w:highlight w:val="none"/>
              </w:rPr>
            </w:pPr>
            <w:r>
              <w:rPr>
                <w:rFonts w:hint="eastAsia"/>
                <w:color w:val="auto"/>
                <w:highlight w:val="none"/>
              </w:rPr>
              <w:t>小写：                           （人民币：元）</w:t>
            </w:r>
          </w:p>
          <w:p w14:paraId="23115EF9">
            <w:pPr>
              <w:pStyle w:val="2"/>
              <w:keepNext w:val="0"/>
              <w:keepLines w:val="0"/>
              <w:suppressLineNumbers w:val="0"/>
              <w:spacing w:before="0" w:beforeAutospacing="0" w:after="0" w:afterAutospacing="0"/>
              <w:ind w:left="0" w:right="0" w:firstLine="420"/>
              <w:rPr>
                <w:rFonts w:hint="eastAsia"/>
                <w:color w:val="auto"/>
                <w:highlight w:val="none"/>
              </w:rPr>
            </w:pPr>
          </w:p>
          <w:p w14:paraId="52718638">
            <w:pPr>
              <w:pStyle w:val="3"/>
              <w:keepNext w:val="0"/>
              <w:keepLines w:val="0"/>
              <w:suppressLineNumbers w:val="0"/>
              <w:spacing w:before="0" w:beforeAutospacing="0" w:after="0" w:afterAutospacing="0"/>
              <w:ind w:right="0"/>
              <w:rPr>
                <w:rFonts w:hint="eastAsia"/>
                <w:color w:val="auto"/>
                <w:highlight w:val="none"/>
              </w:rPr>
            </w:pPr>
          </w:p>
        </w:tc>
      </w:tr>
      <w:tr w14:paraId="29331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exact"/>
          <w:jc w:val="center"/>
        </w:trPr>
        <w:tc>
          <w:tcPr>
            <w:tcW w:w="2227" w:type="dxa"/>
            <w:vAlign w:val="center"/>
          </w:tcPr>
          <w:p w14:paraId="490348E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合同履行期</w:t>
            </w:r>
          </w:p>
        </w:tc>
        <w:tc>
          <w:tcPr>
            <w:tcW w:w="7412" w:type="dxa"/>
            <w:vAlign w:val="center"/>
          </w:tcPr>
          <w:p w14:paraId="004BBB5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一年</w:t>
            </w:r>
          </w:p>
        </w:tc>
      </w:tr>
      <w:tr w14:paraId="2D10D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exact"/>
          <w:jc w:val="center"/>
        </w:trPr>
        <w:tc>
          <w:tcPr>
            <w:tcW w:w="2227" w:type="dxa"/>
            <w:vAlign w:val="center"/>
          </w:tcPr>
          <w:p w14:paraId="1BDDB852">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Cs w:val="21"/>
                <w:highlight w:val="none"/>
                <w:lang w:val="en-US" w:eastAsia="zh-CN"/>
              </w:rPr>
            </w:pPr>
            <w:r>
              <w:rPr>
                <w:rFonts w:hint="eastAsia" w:ascii="宋体" w:hAnsi="宋体" w:eastAsia="宋体" w:cs="宋体"/>
                <w:color w:val="auto"/>
                <w:szCs w:val="21"/>
                <w:highlight w:val="none"/>
                <w:lang w:val="en-US" w:eastAsia="zh-CN"/>
              </w:rPr>
              <w:t>是否中/小/微企业</w:t>
            </w:r>
          </w:p>
        </w:tc>
        <w:tc>
          <w:tcPr>
            <w:tcW w:w="7412" w:type="dxa"/>
            <w:vAlign w:val="center"/>
          </w:tcPr>
          <w:p w14:paraId="3AA2FCA7">
            <w:pPr>
              <w:pStyle w:val="70"/>
              <w:keepNext w:val="0"/>
              <w:keepLines w:val="0"/>
              <w:suppressLineNumbers w:val="0"/>
              <w:spacing w:before="0" w:beforeAutospacing="0" w:after="0" w:afterAutospacing="0" w:line="500" w:lineRule="exact"/>
              <w:ind w:left="0" w:right="0" w:firstLine="630" w:firstLineChars="30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 xml:space="preserve">□中型企业     □小型企业    □微型企业 </w:t>
            </w:r>
          </w:p>
        </w:tc>
      </w:tr>
      <w:tr w14:paraId="4274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exact"/>
          <w:jc w:val="center"/>
        </w:trPr>
        <w:tc>
          <w:tcPr>
            <w:tcW w:w="2227" w:type="dxa"/>
            <w:vAlign w:val="center"/>
          </w:tcPr>
          <w:p w14:paraId="16458F7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7412" w:type="dxa"/>
            <w:vAlign w:val="top"/>
          </w:tcPr>
          <w:p w14:paraId="4327EE5D">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u w:val="single"/>
              </w:rPr>
            </w:pPr>
          </w:p>
        </w:tc>
      </w:tr>
    </w:tbl>
    <w:p w14:paraId="4390AAFA">
      <w:pPr>
        <w:spacing w:line="360" w:lineRule="auto"/>
        <w:rPr>
          <w:rFonts w:hint="eastAsia" w:ascii="宋体" w:hAnsi="宋体" w:eastAsia="宋体" w:cs="宋体"/>
          <w:color w:val="auto"/>
          <w:szCs w:val="21"/>
          <w:highlight w:val="none"/>
        </w:rPr>
      </w:pPr>
    </w:p>
    <w:p w14:paraId="7A2A54C9">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法定代表人或者授权代表（签字或盖章）：                    </w:t>
      </w:r>
    </w:p>
    <w:p w14:paraId="2C34EA7D">
      <w:pPr>
        <w:spacing w:line="360" w:lineRule="auto"/>
        <w:ind w:firstLine="567" w:firstLine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磋商供应商全称（盖章）：</w:t>
      </w:r>
      <w:r>
        <w:rPr>
          <w:rFonts w:hint="eastAsia" w:ascii="宋体" w:hAnsi="宋体" w:eastAsia="宋体" w:cs="宋体"/>
          <w:color w:val="auto"/>
          <w:szCs w:val="21"/>
          <w:highlight w:val="none"/>
          <w:u w:val="single"/>
        </w:rPr>
        <w:t xml:space="preserve">                         </w:t>
      </w:r>
    </w:p>
    <w:p w14:paraId="028DFF58">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59C917D">
      <w:pPr>
        <w:spacing w:line="360" w:lineRule="auto"/>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注：</w:t>
      </w:r>
    </w:p>
    <w:p w14:paraId="04607D84">
      <w:pPr>
        <w:spacing w:line="360" w:lineRule="auto"/>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w:t>
      </w:r>
      <w:r>
        <w:rPr>
          <w:rFonts w:hint="eastAsia" w:ascii="宋体" w:hAnsi="宋体" w:eastAsia="宋体" w:cs="宋体"/>
          <w:bCs/>
          <w:iCs/>
          <w:color w:val="auto"/>
          <w:szCs w:val="21"/>
          <w:highlight w:val="none"/>
        </w:rPr>
        <w:t>磋商响应报价表必须加盖投标人公章（复印件无效）</w:t>
      </w:r>
      <w:r>
        <w:rPr>
          <w:rFonts w:hint="eastAsia" w:ascii="宋体" w:hAnsi="宋体" w:eastAsia="宋体" w:cs="宋体"/>
          <w:iCs/>
          <w:color w:val="auto"/>
          <w:szCs w:val="21"/>
          <w:highlight w:val="none"/>
        </w:rPr>
        <w:t>。</w:t>
      </w:r>
    </w:p>
    <w:p w14:paraId="4E56E83D">
      <w:pPr>
        <w:spacing w:line="360" w:lineRule="auto"/>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2、此表可以根据需要自行增减行数，且该表报价非本次磋商中的最后报价。</w:t>
      </w:r>
    </w:p>
    <w:p w14:paraId="4711FA7B">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br w:type="page"/>
      </w:r>
      <w:bookmarkStart w:id="146" w:name="_Toc182234156"/>
    </w:p>
    <w:p w14:paraId="66AEC7BC">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24"/>
          <w:highlight w:val="none"/>
        </w:rPr>
        <w:t>分项报价表</w:t>
      </w:r>
      <w:bookmarkEnd w:id="146"/>
    </w:p>
    <w:p w14:paraId="42ACBE56">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7548E7D6">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140"/>
        <w:gridCol w:w="3319"/>
        <w:gridCol w:w="850"/>
        <w:gridCol w:w="1452"/>
        <w:gridCol w:w="1315"/>
        <w:gridCol w:w="1429"/>
      </w:tblGrid>
      <w:tr w14:paraId="03B5F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5" w:hRule="atLeast"/>
          <w:jc w:val="center"/>
        </w:trPr>
        <w:tc>
          <w:tcPr>
            <w:tcW w:w="641" w:type="dxa"/>
            <w:vAlign w:val="center"/>
          </w:tcPr>
          <w:p w14:paraId="6635929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140" w:type="dxa"/>
            <w:vAlign w:val="center"/>
          </w:tcPr>
          <w:p w14:paraId="21B9CE0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Cs w:val="21"/>
                <w:highlight w:val="none"/>
              </w:rPr>
            </w:pPr>
            <w:r>
              <w:rPr>
                <w:rFonts w:hint="eastAsia" w:ascii="宋体" w:hAnsi="宋体"/>
                <w:color w:val="auto"/>
                <w:szCs w:val="21"/>
                <w:highlight w:val="none"/>
              </w:rPr>
              <w:t>名称</w:t>
            </w:r>
          </w:p>
        </w:tc>
        <w:tc>
          <w:tcPr>
            <w:tcW w:w="3319" w:type="dxa"/>
            <w:vAlign w:val="center"/>
          </w:tcPr>
          <w:p w14:paraId="0736861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Cs w:val="21"/>
                <w:highlight w:val="none"/>
              </w:rPr>
            </w:pPr>
            <w:r>
              <w:rPr>
                <w:rFonts w:hint="eastAsia" w:ascii="宋体" w:hAnsi="宋体"/>
                <w:color w:val="auto"/>
                <w:szCs w:val="21"/>
                <w:highlight w:val="none"/>
              </w:rPr>
              <w:t>项目特征</w:t>
            </w:r>
          </w:p>
        </w:tc>
        <w:tc>
          <w:tcPr>
            <w:tcW w:w="850" w:type="dxa"/>
            <w:vAlign w:val="center"/>
          </w:tcPr>
          <w:p w14:paraId="6AFCEC3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Cs w:val="21"/>
                <w:highlight w:val="none"/>
              </w:rPr>
            </w:pPr>
            <w:r>
              <w:rPr>
                <w:rFonts w:hint="eastAsia" w:ascii="宋体" w:hAnsi="宋体"/>
                <w:color w:val="auto"/>
                <w:szCs w:val="21"/>
                <w:highlight w:val="none"/>
              </w:rPr>
              <w:t>单位</w:t>
            </w:r>
          </w:p>
        </w:tc>
        <w:tc>
          <w:tcPr>
            <w:tcW w:w="1452" w:type="dxa"/>
            <w:vAlign w:val="center"/>
          </w:tcPr>
          <w:p w14:paraId="294B57D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Cs w:val="21"/>
                <w:highlight w:val="none"/>
              </w:rPr>
            </w:pPr>
            <w:r>
              <w:rPr>
                <w:rFonts w:hint="eastAsia" w:ascii="宋体" w:hAnsi="宋体"/>
                <w:color w:val="auto"/>
                <w:szCs w:val="21"/>
                <w:highlight w:val="none"/>
              </w:rPr>
              <w:t>工程量</w:t>
            </w:r>
          </w:p>
        </w:tc>
        <w:tc>
          <w:tcPr>
            <w:tcW w:w="1315" w:type="dxa"/>
            <w:vAlign w:val="center"/>
          </w:tcPr>
          <w:p w14:paraId="021AAF5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Cs w:val="21"/>
                <w:highlight w:val="none"/>
              </w:rPr>
            </w:pPr>
            <w:r>
              <w:rPr>
                <w:rFonts w:hint="eastAsia" w:ascii="宋体" w:hAnsi="宋体"/>
                <w:color w:val="auto"/>
                <w:szCs w:val="21"/>
                <w:highlight w:val="none"/>
              </w:rPr>
              <w:t>单价（元）</w:t>
            </w:r>
          </w:p>
        </w:tc>
        <w:tc>
          <w:tcPr>
            <w:tcW w:w="1429" w:type="dxa"/>
            <w:vAlign w:val="center"/>
          </w:tcPr>
          <w:p w14:paraId="315DBEC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Cs w:val="21"/>
                <w:highlight w:val="none"/>
              </w:rPr>
            </w:pPr>
            <w:r>
              <w:rPr>
                <w:rFonts w:hint="eastAsia" w:ascii="宋体" w:hAnsi="宋体"/>
                <w:color w:val="auto"/>
                <w:szCs w:val="21"/>
                <w:highlight w:val="none"/>
              </w:rPr>
              <w:t>总价（元）</w:t>
            </w:r>
          </w:p>
        </w:tc>
      </w:tr>
      <w:tr w14:paraId="460D7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1" w:hRule="atLeast"/>
          <w:jc w:val="center"/>
        </w:trPr>
        <w:tc>
          <w:tcPr>
            <w:tcW w:w="641" w:type="dxa"/>
            <w:vAlign w:val="center"/>
          </w:tcPr>
          <w:p w14:paraId="4F2F4B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 w:val="21"/>
                <w:szCs w:val="21"/>
                <w:highlight w:val="none"/>
              </w:rPr>
            </w:pPr>
            <w:r>
              <w:rPr>
                <w:rFonts w:hint="eastAsia" w:ascii="宋体" w:hAnsi="宋体" w:cs="宋体"/>
                <w:color w:val="auto"/>
                <w:kern w:val="0"/>
                <w:sz w:val="21"/>
                <w:szCs w:val="21"/>
                <w:highlight w:val="none"/>
                <w:lang w:bidi="ar"/>
              </w:rPr>
              <w:t>1</w:t>
            </w:r>
          </w:p>
        </w:tc>
        <w:tc>
          <w:tcPr>
            <w:tcW w:w="1140" w:type="dxa"/>
            <w:vAlign w:val="center"/>
          </w:tcPr>
          <w:p w14:paraId="4A5C5F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 w:val="21"/>
                <w:szCs w:val="21"/>
                <w:highlight w:val="none"/>
              </w:rPr>
            </w:pPr>
            <w:r>
              <w:rPr>
                <w:rFonts w:hint="eastAsia" w:ascii="宋体" w:hAnsi="宋体" w:cs="宋体"/>
                <w:color w:val="auto"/>
                <w:kern w:val="0"/>
                <w:sz w:val="21"/>
                <w:szCs w:val="21"/>
                <w:highlight w:val="none"/>
                <w:lang w:bidi="ar"/>
              </w:rPr>
              <w:t>绿化养护</w:t>
            </w:r>
          </w:p>
        </w:tc>
        <w:tc>
          <w:tcPr>
            <w:tcW w:w="3319" w:type="dxa"/>
            <w:vAlign w:val="center"/>
          </w:tcPr>
          <w:p w14:paraId="5C0FF5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1、养护等级：绿化二级养护</w:t>
            </w:r>
          </w:p>
          <w:p w14:paraId="0A656C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2、养护内容:修剪剥芽、施肥、病虫害防治、除草及树池维护、浇水排涝及防冻处理、保存率、卫生保洁、绿地保护及设施维护、安全生产、资料档案、发包人定期和不定期对承包范围巡查及其他。</w:t>
            </w:r>
          </w:p>
          <w:p w14:paraId="1AA6B0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3、投标单价中包含更换草花的费用，根据甲方指令一年至少更换4次时令花卉（每次更换面积至少为700m²,100株/m²）</w:t>
            </w:r>
          </w:p>
          <w:p w14:paraId="1B6D30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4、养护范围：包含但不限于西花园北绿化养护工程，卫生保洁、应急抢险、绿化保护等。</w:t>
            </w:r>
          </w:p>
          <w:p w14:paraId="174BBE0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olor w:val="auto"/>
                <w:sz w:val="21"/>
                <w:szCs w:val="21"/>
                <w:highlight w:val="none"/>
                <w:u w:val="single"/>
              </w:rPr>
            </w:pP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 xml:space="preserve">、养护期：二级养护一年                        </w:t>
            </w:r>
            <w:r>
              <w:rPr>
                <w:rFonts w:hint="eastAsia" w:ascii="宋体" w:hAnsi="宋体" w:cs="宋体"/>
                <w:color w:val="auto"/>
                <w:kern w:val="0"/>
                <w:sz w:val="21"/>
                <w:szCs w:val="21"/>
                <w:highlight w:val="none"/>
                <w:lang w:val="en-US" w:eastAsia="zh-CN" w:bidi="ar"/>
              </w:rPr>
              <w:t>6</w:t>
            </w:r>
            <w:r>
              <w:rPr>
                <w:rFonts w:hint="eastAsia" w:ascii="宋体" w:hAnsi="宋体" w:cs="宋体"/>
                <w:color w:val="auto"/>
                <w:kern w:val="0"/>
                <w:sz w:val="21"/>
                <w:szCs w:val="21"/>
                <w:highlight w:val="none"/>
                <w:lang w:bidi="ar"/>
              </w:rPr>
              <w:t>、具体详见绿化养护二级标准标准</w:t>
            </w:r>
          </w:p>
        </w:tc>
        <w:tc>
          <w:tcPr>
            <w:tcW w:w="850" w:type="dxa"/>
            <w:vAlign w:val="center"/>
          </w:tcPr>
          <w:p w14:paraId="76B5EE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 w:val="21"/>
                <w:szCs w:val="21"/>
                <w:highlight w:val="none"/>
                <w:u w:val="single"/>
              </w:rPr>
            </w:pPr>
            <w:r>
              <w:rPr>
                <w:rFonts w:hint="eastAsia" w:ascii="宋体" w:hAnsi="宋体" w:cs="宋体"/>
                <w:color w:val="auto"/>
                <w:kern w:val="0"/>
                <w:sz w:val="21"/>
                <w:szCs w:val="21"/>
                <w:highlight w:val="none"/>
                <w:lang w:bidi="ar"/>
              </w:rPr>
              <w:t>m²</w:t>
            </w:r>
          </w:p>
        </w:tc>
        <w:tc>
          <w:tcPr>
            <w:tcW w:w="1452" w:type="dxa"/>
            <w:vAlign w:val="center"/>
          </w:tcPr>
          <w:p w14:paraId="1B7332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150000</w:t>
            </w:r>
          </w:p>
        </w:tc>
        <w:tc>
          <w:tcPr>
            <w:tcW w:w="1315" w:type="dxa"/>
            <w:vAlign w:val="center"/>
          </w:tcPr>
          <w:p w14:paraId="54B3609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color w:val="auto"/>
                <w:sz w:val="21"/>
                <w:szCs w:val="21"/>
                <w:highlight w:val="none"/>
                <w:u w:val="single"/>
              </w:rPr>
            </w:pPr>
          </w:p>
        </w:tc>
        <w:tc>
          <w:tcPr>
            <w:tcW w:w="1429" w:type="dxa"/>
            <w:vAlign w:val="center"/>
          </w:tcPr>
          <w:p w14:paraId="1FA2B4B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color w:val="auto"/>
                <w:sz w:val="21"/>
                <w:szCs w:val="21"/>
                <w:highlight w:val="none"/>
                <w:u w:val="single"/>
              </w:rPr>
            </w:pPr>
          </w:p>
        </w:tc>
      </w:tr>
      <w:tr w14:paraId="40C0C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1" w:hRule="atLeast"/>
          <w:jc w:val="center"/>
        </w:trPr>
        <w:tc>
          <w:tcPr>
            <w:tcW w:w="8717" w:type="dxa"/>
            <w:gridSpan w:val="6"/>
            <w:vAlign w:val="center"/>
          </w:tcPr>
          <w:p w14:paraId="00E0083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auto"/>
                <w:szCs w:val="21"/>
                <w:highlight w:val="none"/>
                <w:u w:val="single"/>
              </w:rPr>
            </w:pPr>
            <w:r>
              <w:rPr>
                <w:rFonts w:hint="eastAsia" w:ascii="宋体" w:hAnsi="宋体"/>
                <w:color w:val="auto"/>
                <w:szCs w:val="21"/>
                <w:highlight w:val="none"/>
              </w:rPr>
              <w:t>合 计</w:t>
            </w:r>
          </w:p>
        </w:tc>
        <w:tc>
          <w:tcPr>
            <w:tcW w:w="1429" w:type="dxa"/>
            <w:vAlign w:val="center"/>
          </w:tcPr>
          <w:p w14:paraId="3250FA6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color w:val="auto"/>
                <w:szCs w:val="21"/>
                <w:highlight w:val="none"/>
                <w:u w:val="single"/>
              </w:rPr>
            </w:pPr>
          </w:p>
        </w:tc>
      </w:tr>
    </w:tbl>
    <w:p w14:paraId="0DE86071">
      <w:pPr>
        <w:shd w:val="clear" w:color="auto" w:fill="auto"/>
        <w:rPr>
          <w:rFonts w:hint="eastAsia" w:ascii="宋体" w:hAnsi="宋体" w:eastAsia="宋体" w:cs="宋体"/>
          <w:color w:val="auto"/>
          <w:szCs w:val="21"/>
          <w:highlight w:val="none"/>
        </w:rPr>
      </w:pPr>
    </w:p>
    <w:p w14:paraId="4BA23E21">
      <w:pPr>
        <w:shd w:val="clear" w:color="auto" w:fill="auto"/>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备注：投标报价包含税金等一切费用</w:t>
      </w:r>
    </w:p>
    <w:p w14:paraId="5DCE4AB7">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法定代表人或者授权代表（签字或盖章）：                    </w:t>
      </w:r>
    </w:p>
    <w:p w14:paraId="394C0738">
      <w:pPr>
        <w:spacing w:line="360" w:lineRule="auto"/>
        <w:ind w:firstLine="567" w:firstLine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磋商供应商全称（盖章）：</w:t>
      </w:r>
      <w:r>
        <w:rPr>
          <w:rFonts w:hint="eastAsia" w:ascii="宋体" w:hAnsi="宋体" w:eastAsia="宋体" w:cs="宋体"/>
          <w:color w:val="auto"/>
          <w:szCs w:val="21"/>
          <w:highlight w:val="none"/>
          <w:u w:val="single"/>
        </w:rPr>
        <w:t xml:space="preserve">                         </w:t>
      </w:r>
    </w:p>
    <w:p w14:paraId="44B90207">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7236690">
      <w:pPr>
        <w:spacing w:line="360" w:lineRule="auto"/>
        <w:rPr>
          <w:rFonts w:hint="eastAsia" w:ascii="宋体" w:hAnsi="宋体" w:eastAsia="宋体" w:cs="宋体"/>
          <w:iCs/>
          <w:color w:val="auto"/>
          <w:szCs w:val="21"/>
          <w:highlight w:val="none"/>
        </w:rPr>
      </w:pPr>
    </w:p>
    <w:p w14:paraId="28EB09D6">
      <w:pPr>
        <w:spacing w:line="360" w:lineRule="auto"/>
        <w:rPr>
          <w:rFonts w:hint="eastAsia" w:ascii="宋体" w:hAnsi="宋体" w:eastAsia="宋体" w:cs="宋体"/>
          <w:color w:val="auto"/>
          <w:szCs w:val="21"/>
          <w:highlight w:val="none"/>
        </w:rPr>
      </w:pPr>
    </w:p>
    <w:p w14:paraId="40EEF90C">
      <w:pPr>
        <w:spacing w:line="360" w:lineRule="auto"/>
        <w:rPr>
          <w:rFonts w:hint="eastAsia" w:ascii="宋体" w:hAnsi="宋体" w:eastAsia="宋体" w:cs="宋体"/>
          <w:color w:val="auto"/>
          <w:szCs w:val="21"/>
          <w:highlight w:val="none"/>
        </w:rPr>
      </w:pPr>
    </w:p>
    <w:p w14:paraId="293AF227">
      <w:pPr>
        <w:spacing w:line="360" w:lineRule="auto"/>
        <w:jc w:val="center"/>
        <w:rPr>
          <w:rFonts w:hint="eastAsia" w:ascii="宋体" w:hAnsi="宋体" w:eastAsia="宋体" w:cs="宋体"/>
          <w:b/>
          <w:color w:val="auto"/>
          <w:kern w:val="1"/>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color w:val="auto"/>
          <w:sz w:val="24"/>
          <w:highlight w:val="none"/>
        </w:rPr>
        <w:t>五、响应偏离表</w:t>
      </w:r>
    </w:p>
    <w:p w14:paraId="6119B532">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供应商全称（加盖公章）：</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325"/>
        <w:gridCol w:w="1642"/>
        <w:gridCol w:w="1642"/>
        <w:gridCol w:w="1643"/>
        <w:gridCol w:w="1643"/>
      </w:tblGrid>
      <w:tr w14:paraId="16C9D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exact"/>
          <w:jc w:val="center"/>
        </w:trPr>
        <w:tc>
          <w:tcPr>
            <w:tcW w:w="959" w:type="dxa"/>
            <w:vAlign w:val="center"/>
          </w:tcPr>
          <w:p w14:paraId="38F3C5C4">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325" w:type="dxa"/>
            <w:vAlign w:val="center"/>
          </w:tcPr>
          <w:p w14:paraId="47637BAD">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1642" w:type="dxa"/>
            <w:vAlign w:val="center"/>
          </w:tcPr>
          <w:p w14:paraId="6078EC1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磋商要求</w:t>
            </w:r>
          </w:p>
        </w:tc>
        <w:tc>
          <w:tcPr>
            <w:tcW w:w="1642" w:type="dxa"/>
            <w:vAlign w:val="center"/>
          </w:tcPr>
          <w:p w14:paraId="31C4E74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响应承诺</w:t>
            </w:r>
          </w:p>
        </w:tc>
        <w:tc>
          <w:tcPr>
            <w:tcW w:w="1643" w:type="dxa"/>
            <w:vAlign w:val="center"/>
          </w:tcPr>
          <w:p w14:paraId="21BF7248">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超出、符</w:t>
            </w:r>
          </w:p>
          <w:p w14:paraId="2F02EFBE">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合或偏离</w:t>
            </w:r>
          </w:p>
        </w:tc>
        <w:tc>
          <w:tcPr>
            <w:tcW w:w="1643" w:type="dxa"/>
            <w:vAlign w:val="center"/>
          </w:tcPr>
          <w:p w14:paraId="77A92F7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证明材料</w:t>
            </w:r>
          </w:p>
        </w:tc>
      </w:tr>
      <w:tr w14:paraId="45C58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654FE5E1">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p>
        </w:tc>
        <w:tc>
          <w:tcPr>
            <w:tcW w:w="2325" w:type="dxa"/>
            <w:vAlign w:val="top"/>
          </w:tcPr>
          <w:p w14:paraId="5E6E3358">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合同履行期</w:t>
            </w:r>
          </w:p>
        </w:tc>
        <w:tc>
          <w:tcPr>
            <w:tcW w:w="1642" w:type="dxa"/>
            <w:vAlign w:val="top"/>
          </w:tcPr>
          <w:p w14:paraId="7788F386">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2" w:type="dxa"/>
            <w:vAlign w:val="top"/>
          </w:tcPr>
          <w:p w14:paraId="4338D07F">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1C30B1D2">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574E909A">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43E3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41F9C852">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p>
        </w:tc>
        <w:tc>
          <w:tcPr>
            <w:tcW w:w="2325" w:type="dxa"/>
            <w:vAlign w:val="top"/>
          </w:tcPr>
          <w:p w14:paraId="098C6D2F">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服务地点</w:t>
            </w:r>
          </w:p>
        </w:tc>
        <w:tc>
          <w:tcPr>
            <w:tcW w:w="1642" w:type="dxa"/>
            <w:vAlign w:val="top"/>
          </w:tcPr>
          <w:p w14:paraId="373C5686">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2" w:type="dxa"/>
            <w:vAlign w:val="top"/>
          </w:tcPr>
          <w:p w14:paraId="4F220450">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6D2E3A6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33DD549B">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1BD9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1F9C767B">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p>
        </w:tc>
        <w:tc>
          <w:tcPr>
            <w:tcW w:w="2325" w:type="dxa"/>
            <w:vAlign w:val="top"/>
          </w:tcPr>
          <w:p w14:paraId="71D2FC85">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服务方式</w:t>
            </w:r>
          </w:p>
        </w:tc>
        <w:tc>
          <w:tcPr>
            <w:tcW w:w="1642" w:type="dxa"/>
            <w:vAlign w:val="top"/>
          </w:tcPr>
          <w:p w14:paraId="1F716B3B">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2" w:type="dxa"/>
            <w:vAlign w:val="top"/>
          </w:tcPr>
          <w:p w14:paraId="0EF4781F">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3CB846CF">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79399346">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26FB8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39530912">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p>
        </w:tc>
        <w:tc>
          <w:tcPr>
            <w:tcW w:w="2325" w:type="dxa"/>
            <w:vAlign w:val="top"/>
          </w:tcPr>
          <w:p w14:paraId="2AA63BA1">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1642" w:type="dxa"/>
            <w:vAlign w:val="top"/>
          </w:tcPr>
          <w:p w14:paraId="4B8F7837">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2" w:type="dxa"/>
            <w:vAlign w:val="top"/>
          </w:tcPr>
          <w:p w14:paraId="0328FE14">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1C7B88E4">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186EA098">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18F46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0229463C">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p>
        </w:tc>
        <w:tc>
          <w:tcPr>
            <w:tcW w:w="2325" w:type="dxa"/>
            <w:vAlign w:val="top"/>
          </w:tcPr>
          <w:p w14:paraId="2EA8CA06">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磋商响应货币</w:t>
            </w:r>
          </w:p>
        </w:tc>
        <w:tc>
          <w:tcPr>
            <w:tcW w:w="1642" w:type="dxa"/>
            <w:vAlign w:val="top"/>
          </w:tcPr>
          <w:p w14:paraId="699E3197">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2" w:type="dxa"/>
            <w:vAlign w:val="top"/>
          </w:tcPr>
          <w:p w14:paraId="3A4BABA4">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7DA4E915">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6826A79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56FC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3EC182CA">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2325" w:type="dxa"/>
            <w:vAlign w:val="top"/>
          </w:tcPr>
          <w:p w14:paraId="156968AB">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642" w:type="dxa"/>
            <w:vAlign w:val="top"/>
          </w:tcPr>
          <w:p w14:paraId="485468A8">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2" w:type="dxa"/>
            <w:vAlign w:val="top"/>
          </w:tcPr>
          <w:p w14:paraId="0E9D75FB">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4804AA6D">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744179F5">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r w14:paraId="53679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1E7E763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2325" w:type="dxa"/>
            <w:vAlign w:val="top"/>
          </w:tcPr>
          <w:p w14:paraId="37C40961">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1642" w:type="dxa"/>
            <w:vAlign w:val="top"/>
          </w:tcPr>
          <w:p w14:paraId="4F12ACC5">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2" w:type="dxa"/>
            <w:vAlign w:val="top"/>
          </w:tcPr>
          <w:p w14:paraId="4DDD8B42">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01EDD647">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c>
          <w:tcPr>
            <w:tcW w:w="1643" w:type="dxa"/>
            <w:vAlign w:val="top"/>
          </w:tcPr>
          <w:p w14:paraId="48F68B10">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p>
        </w:tc>
      </w:tr>
    </w:tbl>
    <w:p w14:paraId="3868D4D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法定代表人或授权代表（签字或盖章）：</w:t>
      </w:r>
      <w:r>
        <w:rPr>
          <w:rFonts w:hint="eastAsia" w:ascii="宋体" w:hAnsi="宋体" w:eastAsia="宋体" w:cs="宋体"/>
          <w:bCs/>
          <w:color w:val="auto"/>
          <w:szCs w:val="21"/>
          <w:highlight w:val="none"/>
          <w:u w:val="single"/>
        </w:rPr>
        <w:t xml:space="preserve">         </w:t>
      </w:r>
    </w:p>
    <w:p w14:paraId="63E430D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磋商供应商全称（盖章）：</w:t>
      </w:r>
    </w:p>
    <w:p w14:paraId="132CEB26">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  年   月  日</w:t>
      </w:r>
    </w:p>
    <w:p w14:paraId="6F5136FF">
      <w:pPr>
        <w:spacing w:line="360" w:lineRule="auto"/>
        <w:rPr>
          <w:rFonts w:hint="eastAsia" w:ascii="宋体" w:hAnsi="宋体" w:eastAsia="宋体" w:cs="宋体"/>
          <w:b/>
          <w:color w:val="auto"/>
          <w:szCs w:val="21"/>
          <w:highlight w:val="none"/>
        </w:rPr>
      </w:pPr>
    </w:p>
    <w:p w14:paraId="171BAF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注：供应商应按照磋商文件中要求的技术要求指标逐项、详细、真实的填写。行数不够可以添加，有具体参数的应填写详细参数，否则该响应文件可能被拒绝。</w:t>
      </w:r>
    </w:p>
    <w:p w14:paraId="386BEDF9">
      <w:pPr>
        <w:spacing w:line="360" w:lineRule="auto"/>
        <w:jc w:val="center"/>
        <w:rPr>
          <w:rFonts w:hint="eastAsia" w:ascii="宋体" w:hAnsi="宋体" w:eastAsia="宋体" w:cs="宋体"/>
          <w:b/>
          <w:color w:val="auto"/>
          <w:kern w:val="1"/>
          <w:szCs w:val="21"/>
          <w:highlight w:val="none"/>
        </w:rPr>
      </w:pPr>
      <w:r>
        <w:rPr>
          <w:rFonts w:hint="eastAsia" w:ascii="宋体" w:hAnsi="宋体" w:eastAsia="宋体" w:cs="宋体"/>
          <w:color w:val="auto"/>
          <w:szCs w:val="21"/>
          <w:highlight w:val="none"/>
        </w:rPr>
        <w:br w:type="page"/>
      </w:r>
    </w:p>
    <w:p w14:paraId="0C7CF9A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六、项目</w:t>
      </w:r>
      <w:r>
        <w:rPr>
          <w:rFonts w:hint="eastAsia" w:ascii="宋体" w:hAnsi="宋体" w:eastAsia="宋体" w:cs="宋体"/>
          <w:b/>
          <w:color w:val="auto"/>
          <w:sz w:val="24"/>
          <w:highlight w:val="none"/>
          <w:lang w:val="en-US" w:eastAsia="zh-CN"/>
        </w:rPr>
        <w:t>养护</w:t>
      </w:r>
      <w:r>
        <w:rPr>
          <w:rFonts w:hint="eastAsia" w:ascii="宋体" w:hAnsi="宋体" w:eastAsia="宋体" w:cs="宋体"/>
          <w:b/>
          <w:color w:val="auto"/>
          <w:sz w:val="24"/>
          <w:highlight w:val="none"/>
        </w:rPr>
        <w:t>方案</w:t>
      </w:r>
    </w:p>
    <w:p w14:paraId="4F4C59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（供应商根据评分细则自行编制）</w:t>
      </w:r>
    </w:p>
    <w:p w14:paraId="3A945C9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、其他</w:t>
      </w:r>
    </w:p>
    <w:p w14:paraId="5DFCAD0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（根据招标文件的要求和投标人认为需要提供的资料）</w:t>
      </w:r>
    </w:p>
    <w:p w14:paraId="22F721CC">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rPr>
        <w:t>附表1：</w:t>
      </w:r>
    </w:p>
    <w:p w14:paraId="02E9A943">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t>供应商参加磋商确认函</w:t>
      </w:r>
    </w:p>
    <w:p w14:paraId="36B204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江苏志诚工程咨询管理有限公司</w:t>
      </w:r>
      <w:r>
        <w:rPr>
          <w:rFonts w:hint="eastAsia" w:ascii="宋体" w:hAnsi="宋体" w:eastAsia="宋体" w:cs="宋体"/>
          <w:color w:val="auto"/>
          <w:szCs w:val="21"/>
          <w:highlight w:val="none"/>
        </w:rPr>
        <w:t>：</w:t>
      </w:r>
    </w:p>
    <w:p w14:paraId="7F79B527">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本单位将参加贵公司于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日开标的采购编号为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项目的投标。本单位已成功下载标书，特发函确认。</w:t>
      </w:r>
    </w:p>
    <w:p w14:paraId="533391EB">
      <w:pPr>
        <w:spacing w:line="360" w:lineRule="auto"/>
        <w:ind w:left="2730" w:hanging="2730" w:hangingChars="1300"/>
        <w:rPr>
          <w:rFonts w:hint="eastAsia" w:ascii="宋体" w:hAnsi="宋体" w:eastAsia="宋体" w:cs="宋体"/>
          <w:color w:val="auto"/>
          <w:szCs w:val="21"/>
          <w:highlight w:val="none"/>
        </w:rPr>
      </w:pPr>
    </w:p>
    <w:p w14:paraId="5EA78A81">
      <w:pPr>
        <w:spacing w:line="360" w:lineRule="auto"/>
        <w:ind w:left="2730" w:hanging="2730" w:hangingChars="1300"/>
        <w:rPr>
          <w:rFonts w:hint="eastAsia" w:ascii="宋体" w:hAnsi="宋体" w:eastAsia="宋体" w:cs="宋体"/>
          <w:color w:val="auto"/>
          <w:szCs w:val="21"/>
          <w:highlight w:val="none"/>
        </w:rPr>
      </w:pPr>
    </w:p>
    <w:p w14:paraId="28CA899C">
      <w:pPr>
        <w:spacing w:line="360" w:lineRule="auto"/>
        <w:ind w:left="2730" w:hanging="2730" w:hangingChars="1300"/>
        <w:rPr>
          <w:rFonts w:hint="eastAsia" w:ascii="宋体" w:hAnsi="宋体" w:eastAsia="宋体" w:cs="宋体"/>
          <w:color w:val="auto"/>
          <w:szCs w:val="21"/>
          <w:highlight w:val="none"/>
        </w:rPr>
      </w:pPr>
    </w:p>
    <w:p w14:paraId="23844EEC">
      <w:pPr>
        <w:spacing w:line="360" w:lineRule="auto"/>
        <w:ind w:firstLine="2100" w:firstLineChars="1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（单位公章）</w:t>
      </w:r>
    </w:p>
    <w:p w14:paraId="3B7FDFCC">
      <w:pPr>
        <w:pBdr>
          <w:bottom w:val="single" w:color="000000" w:sz="6" w:space="31"/>
        </w:pBdr>
        <w:spacing w:line="360" w:lineRule="auto"/>
        <w:ind w:left="3465" w:hanging="3465" w:hangingChars="1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w:t>
      </w:r>
    </w:p>
    <w:p w14:paraId="2EC9F86C">
      <w:pPr>
        <w:spacing w:line="360" w:lineRule="auto"/>
        <w:ind w:left="3465" w:hanging="3465" w:hangingChars="1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23366FA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供应商联系表</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2799"/>
        <w:gridCol w:w="2021"/>
        <w:gridCol w:w="2872"/>
      </w:tblGrid>
      <w:tr w14:paraId="1D001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18E4DE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tc>
        <w:tc>
          <w:tcPr>
            <w:tcW w:w="7692" w:type="dxa"/>
            <w:gridSpan w:val="3"/>
            <w:vAlign w:val="top"/>
          </w:tcPr>
          <w:p w14:paraId="1B8836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D0BE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167344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7692" w:type="dxa"/>
            <w:gridSpan w:val="3"/>
            <w:vAlign w:val="top"/>
          </w:tcPr>
          <w:p w14:paraId="4A84A9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6673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3512BA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2799" w:type="dxa"/>
            <w:vAlign w:val="top"/>
          </w:tcPr>
          <w:p w14:paraId="799619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021" w:type="dxa"/>
            <w:vAlign w:val="top"/>
          </w:tcPr>
          <w:p w14:paraId="7D4A89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编</w:t>
            </w:r>
          </w:p>
        </w:tc>
        <w:tc>
          <w:tcPr>
            <w:tcW w:w="2872" w:type="dxa"/>
            <w:vAlign w:val="top"/>
          </w:tcPr>
          <w:p w14:paraId="78027D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643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843" w:type="dxa"/>
            <w:vAlign w:val="top"/>
          </w:tcPr>
          <w:p w14:paraId="12A7E4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单位电话</w:t>
            </w:r>
          </w:p>
        </w:tc>
        <w:tc>
          <w:tcPr>
            <w:tcW w:w="2799" w:type="dxa"/>
            <w:vAlign w:val="top"/>
          </w:tcPr>
          <w:p w14:paraId="6CB62A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021" w:type="dxa"/>
            <w:vAlign w:val="top"/>
          </w:tcPr>
          <w:p w14:paraId="562385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传真号码</w:t>
            </w:r>
          </w:p>
        </w:tc>
        <w:tc>
          <w:tcPr>
            <w:tcW w:w="2872" w:type="dxa"/>
            <w:vAlign w:val="top"/>
          </w:tcPr>
          <w:p w14:paraId="79CF53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C5CC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52E777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p>
        </w:tc>
        <w:tc>
          <w:tcPr>
            <w:tcW w:w="2799" w:type="dxa"/>
            <w:vAlign w:val="top"/>
          </w:tcPr>
          <w:p w14:paraId="0CD52F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021" w:type="dxa"/>
            <w:vAlign w:val="top"/>
          </w:tcPr>
          <w:p w14:paraId="7D135F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箱</w:t>
            </w:r>
          </w:p>
        </w:tc>
        <w:tc>
          <w:tcPr>
            <w:tcW w:w="2872" w:type="dxa"/>
            <w:vAlign w:val="top"/>
          </w:tcPr>
          <w:p w14:paraId="2A8A4E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3F3C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843" w:type="dxa"/>
            <w:vAlign w:val="top"/>
          </w:tcPr>
          <w:p w14:paraId="4D781F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联系人电话</w:t>
            </w:r>
          </w:p>
        </w:tc>
        <w:tc>
          <w:tcPr>
            <w:tcW w:w="2799" w:type="dxa"/>
            <w:vAlign w:val="top"/>
          </w:tcPr>
          <w:p w14:paraId="0EC83D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021" w:type="dxa"/>
            <w:vAlign w:val="top"/>
          </w:tcPr>
          <w:p w14:paraId="36CF42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联系人手机</w:t>
            </w:r>
          </w:p>
        </w:tc>
        <w:tc>
          <w:tcPr>
            <w:tcW w:w="2872" w:type="dxa"/>
            <w:vAlign w:val="top"/>
          </w:tcPr>
          <w:p w14:paraId="18E38F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2158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026B5D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所投项目名称</w:t>
            </w:r>
          </w:p>
        </w:tc>
        <w:tc>
          <w:tcPr>
            <w:tcW w:w="7692" w:type="dxa"/>
            <w:gridSpan w:val="3"/>
            <w:vAlign w:val="top"/>
          </w:tcPr>
          <w:p w14:paraId="60D192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57F8D53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备注：1、请准备参与本项目磋商的供应商如实填写（以上信息均为必填内容）后邮件至采购代理机构（电子邮箱：</w:t>
      </w:r>
      <w:r>
        <w:rPr>
          <w:rFonts w:hint="eastAsia" w:ascii="宋体" w:hAnsi="宋体" w:eastAsia="宋体" w:cs="宋体"/>
          <w:b/>
          <w:color w:val="auto"/>
          <w:szCs w:val="21"/>
          <w:highlight w:val="none"/>
          <w:lang w:val="en-US" w:eastAsia="zh-CN"/>
        </w:rPr>
        <w:t>785419524</w:t>
      </w:r>
      <w:r>
        <w:rPr>
          <w:rFonts w:hint="eastAsia" w:ascii="宋体" w:hAnsi="宋体" w:eastAsia="宋体" w:cs="宋体"/>
          <w:b/>
          <w:color w:val="auto"/>
          <w:szCs w:val="21"/>
          <w:highlight w:val="none"/>
        </w:rPr>
        <w:t>@qq.com，联系电话：</w:t>
      </w:r>
      <w:r>
        <w:rPr>
          <w:rFonts w:hint="eastAsia" w:ascii="宋体" w:hAnsi="宋体" w:eastAsia="宋体" w:cs="宋体"/>
          <w:b/>
          <w:color w:val="auto"/>
          <w:szCs w:val="21"/>
          <w:highlight w:val="none"/>
          <w:lang w:val="en-US" w:eastAsia="zh-CN"/>
        </w:rPr>
        <w:t>0514-80820678</w:t>
      </w:r>
      <w:r>
        <w:rPr>
          <w:rFonts w:hint="eastAsia" w:ascii="宋体" w:hAnsi="宋体" w:eastAsia="宋体" w:cs="宋体"/>
          <w:b/>
          <w:color w:val="auto"/>
          <w:szCs w:val="21"/>
          <w:highlight w:val="none"/>
        </w:rPr>
        <w:t>）。</w:t>
      </w:r>
    </w:p>
    <w:p w14:paraId="4E76D134">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2、因供应商填写有误，造成以上信息资料的不实将由供应商承担责任。</w:t>
      </w:r>
    </w:p>
    <w:bookmarkEnd w:id="147"/>
    <w:sectPr>
      <w:headerReference r:id="rId11" w:type="first"/>
      <w:footerReference r:id="rId13" w:type="first"/>
      <w:footerReference r:id="rId12" w:type="default"/>
      <w:pgSz w:w="11906" w:h="16838"/>
      <w:pgMar w:top="1440" w:right="1080" w:bottom="1440" w:left="1080" w:header="850" w:footer="85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姚体">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71F8">
    <w:pPr>
      <w:pStyle w:val="31"/>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5C09BC9">
                <w:pPr>
                  <w:pStyle w:val="31"/>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B45F">
    <w:pPr>
      <w:pStyle w:val="31"/>
      <w:tabs>
        <w:tab w:val="clear" w:pos="4153"/>
        <w:tab w:val="clear" w:pos="8306"/>
      </w:tabs>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10DB">
    <w:pPr>
      <w:pStyle w:val="31"/>
      <w:tabs>
        <w:tab w:val="clear" w:pos="4153"/>
        <w:tab w:val="clear" w:pos="8306"/>
      </w:tabs>
      <w:jc w:val="both"/>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CBB6166">
                <w:pPr>
                  <w:pStyle w:val="31"/>
                </w:pPr>
                <w:r>
                  <w:fldChar w:fldCharType="begin"/>
                </w:r>
                <w:r>
                  <w:instrText xml:space="preserve"> PAGE  \* MERGEFORMAT </w:instrText>
                </w:r>
                <w:r>
                  <w:fldChar w:fldCharType="separate"/>
                </w:r>
                <w:r>
                  <w:t>1</w:t>
                </w:r>
                <w:r>
                  <w:fldChar w:fldCharType="end"/>
                </w:r>
              </w:p>
            </w:txbxContent>
          </v:textbox>
        </v:shape>
      </w:pict>
    </w:r>
    <w:r>
      <w:pict>
        <v:shape id="00007e"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2D54A1F4"/>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46026">
    <w:pPr>
      <w:pStyle w:val="31"/>
      <w:tabs>
        <w:tab w:val="clear" w:pos="4153"/>
        <w:tab w:val="clear" w:pos="8306"/>
      </w:tabs>
    </w:pPr>
    <w:r>
      <w:rPr>
        <w:rFonts w:hint="eastAsia"/>
      </w:rP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1EBA0">
    <w:pPr>
      <w:pStyle w:val="31"/>
      <w:tabs>
        <w:tab w:val="clear" w:pos="4153"/>
        <w:tab w:val="clear" w:pos="8306"/>
      </w:tabs>
    </w:pPr>
    <w:r>
      <w:rPr>
        <w:sz w:val="18"/>
      </w:rP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E64428">
                <w:pPr>
                  <w:pStyle w:val="31"/>
                </w:pPr>
                <w:r>
                  <w:fldChar w:fldCharType="begin"/>
                </w:r>
                <w:r>
                  <w:instrText xml:space="preserve"> PAGE  \* MERGEFORMAT </w:instrText>
                </w:r>
                <w:r>
                  <w:fldChar w:fldCharType="separate"/>
                </w:r>
                <w:r>
                  <w:t>14</w:t>
                </w:r>
                <w:r>
                  <w:fldChar w:fldCharType="end"/>
                </w:r>
              </w:p>
            </w:txbxContent>
          </v:textbox>
        </v:shape>
      </w:pict>
    </w:r>
    <w:r>
      <w:pict>
        <v:shape id="000082"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48B7FE0E"/>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AFF1">
    <w:pPr>
      <w:pStyle w:val="31"/>
      <w:tabs>
        <w:tab w:val="clear" w:pos="4153"/>
        <w:tab w:val="clear" w:pos="8306"/>
      </w:tabs>
      <w:rPr>
        <w:rFonts w:hint="eastAsia"/>
      </w:rPr>
    </w:pPr>
    <w:r>
      <w:rPr>
        <w:sz w:val="18"/>
      </w:rPr>
      <w:pict>
        <v:shape id="_x0000_s4103"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64D3CDE">
                <w:pPr>
                  <w:pStyle w:val="31"/>
                </w:pPr>
                <w:r>
                  <w:fldChar w:fldCharType="begin"/>
                </w:r>
                <w:r>
                  <w:instrText xml:space="preserve"> PAGE  \* MERGEFORMAT </w:instrText>
                </w:r>
                <w:r>
                  <w:fldChar w:fldCharType="separate"/>
                </w:r>
                <w:r>
                  <w:t>13</w:t>
                </w:r>
                <w:r>
                  <w:fldChar w:fldCharType="end"/>
                </w:r>
              </w:p>
            </w:txbxContent>
          </v:textbox>
        </v:shape>
      </w:pict>
    </w:r>
    <w:r>
      <w:pict>
        <v:shape id="000084"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15F22EE4"/>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F89B">
    <w:pPr>
      <w:pStyle w:val="33"/>
      <w:tabs>
        <w:tab w:val="clear" w:pos="4153"/>
        <w:tab w:val="clear" w:pos="8306"/>
      </w:tabs>
      <w:jc w:val="both"/>
      <w:rPr>
        <w:rFonts w:ascii="宋体" w:hAnsi="宋体" w:eastAsia="宋体"/>
        <w:lang w:val="en-US" w:eastAsia="zh-CN"/>
      </w:rPr>
    </w:pPr>
    <w:r>
      <w:rPr>
        <w:rFonts w:hint="eastAsia" w:ascii="宋体" w:hAnsi="宋体" w:eastAsia="宋体" w:cs="宋体"/>
        <w:color w:val="000000"/>
        <w:szCs w:val="21"/>
        <w:lang w:eastAsia="zh-CN"/>
      </w:rPr>
      <w:t>JSZCZC2025025</w:t>
    </w:r>
    <w:r>
      <w:rPr>
        <w:rFonts w:hint="eastAsia" w:ascii="宋体" w:hAnsi="宋体"/>
      </w:rPr>
      <w:t>号</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江苏志诚工程咨询管理有限公司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DBD8">
    <w:pPr>
      <w:pStyle w:val="33"/>
      <w:tabs>
        <w:tab w:val="clear" w:pos="4153"/>
        <w:tab w:val="clear" w:pos="8306"/>
      </w:tabs>
    </w:pPr>
    <w:r>
      <w:rPr>
        <w:rFonts w:hint="eastAsia"/>
        <w:lang w:eastAsia="zh-CN"/>
      </w:rPr>
      <w:t>YZWTWY-XHYNPQLH-2024002</w:t>
    </w:r>
    <w:r>
      <w:rPr>
        <w:rFonts w:hint="eastAsia" w:ascii="宋体" w:hAnsi="宋体"/>
      </w:rPr>
      <w:t>号</w:t>
    </w:r>
    <w:r>
      <w:rPr>
        <w:rFonts w:hint="eastAsia"/>
      </w:rPr>
      <w:t xml:space="preserve"> </w:t>
    </w:r>
    <w:r>
      <w:rPr>
        <w:rFonts w:hint="eastAsia"/>
        <w:lang w:val="en-US" w:eastAsia="zh-CN"/>
      </w:rPr>
      <w:t xml:space="preserve">                                            </w:t>
    </w:r>
    <w:r>
      <w:rPr>
        <w:rFonts w:hint="eastAsia"/>
      </w:rPr>
      <w:t xml:space="preserve"> </w:t>
    </w:r>
    <w:r>
      <w:rPr>
        <w:rFonts w:hint="eastAsia" w:ascii="宋体" w:hAnsi="宋体"/>
      </w:rPr>
      <w:t>江苏嘉加诚工程投资咨询有限公司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8E79">
    <w:pPr>
      <w:pStyle w:val="33"/>
      <w:pBdr>
        <w:bottom w:val="single" w:color="000000" w:sz="6" w:space="0"/>
      </w:pBdr>
      <w:tabs>
        <w:tab w:val="clear" w:pos="4153"/>
        <w:tab w:val="clear" w:pos="8306"/>
      </w:tabs>
      <w:jc w:val="both"/>
      <w:rPr>
        <w:rFonts w:hint="eastAsia" w:ascii="宋体" w:hAnsi="宋体" w:eastAsia="宋体" w:cs="宋体"/>
        <w:szCs w:val="21"/>
        <w:lang w:eastAsia="zh-CN"/>
      </w:rPr>
    </w:pPr>
    <w:r>
      <w:rPr>
        <w:rFonts w:hint="eastAsia" w:ascii="宋体" w:hAnsi="宋体" w:eastAsia="宋体" w:cs="宋体"/>
        <w:color w:val="000000"/>
        <w:szCs w:val="21"/>
        <w:lang w:eastAsia="zh-CN"/>
      </w:rPr>
      <w:t>JSZCZC2025025</w:t>
    </w:r>
    <w:r>
      <w:rPr>
        <w:rFonts w:hint="eastAsia" w:ascii="宋体" w:hAnsi="宋体"/>
        <w:szCs w:val="21"/>
      </w:rPr>
      <w:t>号</w:t>
    </w:r>
    <w:r>
      <w:rPr>
        <w:rFonts w:hint="eastAsia" w:ascii="宋体" w:hAnsi="宋体"/>
        <w:color w:val="FF0000"/>
        <w:szCs w:val="21"/>
      </w:rPr>
      <w:t xml:space="preserve">  </w:t>
    </w:r>
    <w:r>
      <w:rPr>
        <w:rFonts w:hint="eastAsia"/>
        <w:color w:val="FF0000"/>
      </w:rPr>
      <w:t xml:space="preserve">  </w:t>
    </w:r>
    <w:r>
      <w:rPr>
        <w:rFonts w:hint="eastAsia"/>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color w:val="333333"/>
        <w:kern w:val="0"/>
        <w:lang w:val="en" w:eastAsia="zh-CN"/>
      </w:rPr>
      <w:t>江苏志诚工程咨询管理有限公司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37ED9">
    <w:pPr>
      <w:pStyle w:val="33"/>
      <w:tabs>
        <w:tab w:val="clear" w:pos="4153"/>
        <w:tab w:val="clear" w:pos="8306"/>
      </w:tabs>
      <w:jc w:val="both"/>
      <w:rPr>
        <w:rFonts w:hint="eastAsia" w:eastAsia="宋体"/>
        <w:lang w:eastAsia="zh-CN"/>
      </w:rPr>
    </w:pPr>
    <w:r>
      <w:rPr>
        <w:rFonts w:hint="eastAsia" w:ascii="宋体" w:hAnsi="宋体"/>
        <w:szCs w:val="21"/>
      </w:rPr>
      <w:t>JSLX-ZC20240828号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lang w:eastAsia="zh-CN"/>
      </w:rPr>
      <w:t>江苏志诚工程咨询管理有限公司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A19C">
    <w:pPr>
      <w:pStyle w:val="33"/>
      <w:pBdr>
        <w:bottom w:val="single" w:color="000000" w:sz="6" w:space="0"/>
      </w:pBdr>
      <w:tabs>
        <w:tab w:val="clear" w:pos="4153"/>
        <w:tab w:val="clear" w:pos="8306"/>
      </w:tabs>
      <w:jc w:val="both"/>
      <w:rPr>
        <w:rFonts w:hint="eastAsia" w:eastAsia="宋体"/>
        <w:lang w:eastAsia="zh-CN"/>
      </w:rPr>
    </w:pPr>
    <w:r>
      <w:rPr>
        <w:rFonts w:hint="eastAsia" w:ascii="宋体" w:hAnsi="宋体"/>
        <w:szCs w:val="21"/>
        <w:lang w:eastAsia="zh-CN"/>
      </w:rPr>
      <w:t>JSZCZC2025024</w:t>
    </w:r>
    <w:r>
      <w:rPr>
        <w:rFonts w:hint="eastAsia" w:ascii="宋体" w:hAnsi="宋体"/>
        <w:szCs w:val="21"/>
      </w:rPr>
      <w:t>号</w:t>
    </w:r>
    <w:r>
      <w:rPr>
        <w:rFonts w:hint="eastAsia" w:ascii="宋体" w:hAnsi="宋体"/>
        <w:color w:val="FF0000"/>
        <w:szCs w:val="21"/>
      </w:rPr>
      <w:t xml:space="preserve">  </w:t>
    </w:r>
    <w:r>
      <w:rPr>
        <w:rFonts w:hint="eastAsia"/>
        <w:color w:val="FF0000"/>
      </w:rPr>
      <w:t xml:space="preserve">  </w:t>
    </w:r>
    <w:r>
      <w:rPr>
        <w:rFonts w:hint="eastAsia"/>
      </w:rPr>
      <w:t xml:space="preserve">                                                 </w:t>
    </w:r>
    <w:r>
      <w:rPr>
        <w:rFonts w:hint="eastAsia" w:ascii="宋体" w:hAnsi="宋体" w:eastAsia="宋体" w:cs="宋体"/>
      </w:rPr>
      <w:t xml:space="preserve">  </w:t>
    </w:r>
    <w:r>
      <w:rPr>
        <w:rFonts w:hint="eastAsia" w:ascii="宋体" w:hAnsi="宋体" w:eastAsia="宋体" w:cs="宋体"/>
        <w:color w:val="333333"/>
        <w:kern w:val="0"/>
        <w:lang w:val="en" w:eastAsia="zh-CN"/>
      </w:rPr>
      <w:t>江苏志诚工程咨询管理有限公司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56DB3"/>
    <w:multiLevelType w:val="singleLevel"/>
    <w:tmpl w:val="9DD56DB3"/>
    <w:lvl w:ilvl="0" w:tentative="0">
      <w:start w:val="1"/>
      <w:numFmt w:val="bullet"/>
      <w:pStyle w:val="22"/>
      <w:lvlText w:val=""/>
      <w:lvlJc w:val="left"/>
      <w:pPr>
        <w:tabs>
          <w:tab w:val="left" w:pos="780"/>
        </w:tabs>
        <w:ind w:left="780" w:hanging="360"/>
      </w:pPr>
      <w:rPr>
        <w:rFonts w:ascii="Wingdings" w:hAnsi="Wingdings"/>
      </w:rPr>
    </w:lvl>
  </w:abstractNum>
  <w:abstractNum w:abstractNumId="1">
    <w:nsid w:val="E01DADE4"/>
    <w:multiLevelType w:val="singleLevel"/>
    <w:tmpl w:val="E01DADE4"/>
    <w:lvl w:ilvl="0" w:tentative="0">
      <w:start w:val="1"/>
      <w:numFmt w:val="decimal"/>
      <w:lvlText w:val="(%1)"/>
      <w:lvlJc w:val="left"/>
      <w:pPr>
        <w:ind w:left="425" w:hanging="425"/>
      </w:pPr>
    </w:lvl>
  </w:abstractNum>
  <w:abstractNum w:abstractNumId="2">
    <w:nsid w:val="06784D56"/>
    <w:multiLevelType w:val="singleLevel"/>
    <w:tmpl w:val="06784D56"/>
    <w:lvl w:ilvl="0" w:tentative="0">
      <w:start w:val="1"/>
      <w:numFmt w:val="upperLetter"/>
      <w:pStyle w:val="75"/>
      <w:lvlText w:val="附录%1."/>
      <w:lvlJc w:val="left"/>
      <w:pPr>
        <w:tabs>
          <w:tab w:val="left" w:pos="907"/>
        </w:tabs>
        <w:ind w:left="907" w:hanging="907"/>
      </w:pPr>
      <w:rPr>
        <w:rFonts w:hint="eastAsia"/>
      </w:rPr>
    </w:lvl>
  </w:abstractNum>
  <w:abstractNum w:abstractNumId="3">
    <w:nsid w:val="125561CB"/>
    <w:multiLevelType w:val="singleLevel"/>
    <w:tmpl w:val="125561CB"/>
    <w:lvl w:ilvl="0" w:tentative="0">
      <w:start w:val="2"/>
      <w:numFmt w:val="chineseCounting"/>
      <w:suff w:val="nothing"/>
      <w:lvlText w:val="%1、"/>
      <w:lvlJc w:val="left"/>
      <w:rPr>
        <w:rFonts w:hint="eastAsia"/>
      </w:rPr>
    </w:lvl>
  </w:abstractNum>
  <w:abstractNum w:abstractNumId="4">
    <w:nsid w:val="17734228"/>
    <w:multiLevelType w:val="singleLevel"/>
    <w:tmpl w:val="17734228"/>
    <w:lvl w:ilvl="0" w:tentative="0">
      <w:start w:val="1"/>
      <w:numFmt w:val="decimal"/>
      <w:lvlText w:val="(%1)"/>
      <w:lvlJc w:val="left"/>
      <w:pPr>
        <w:ind w:left="425" w:hanging="425"/>
      </w:pPr>
    </w:lvl>
  </w:abstractNum>
  <w:abstractNum w:abstractNumId="5">
    <w:nsid w:val="229096F1"/>
    <w:multiLevelType w:val="singleLevel"/>
    <w:tmpl w:val="229096F1"/>
    <w:lvl w:ilvl="0" w:tentative="0">
      <w:start w:val="1"/>
      <w:numFmt w:val="decimal"/>
      <w:lvlText w:val="(%1)"/>
      <w:lvlJc w:val="left"/>
      <w:pPr>
        <w:ind w:left="425" w:hanging="425"/>
      </w:pPr>
    </w:lvl>
  </w:abstractNum>
  <w:abstractNum w:abstractNumId="6">
    <w:nsid w:val="237E4D61"/>
    <w:multiLevelType w:val="multilevel"/>
    <w:tmpl w:val="237E4D61"/>
    <w:lvl w:ilvl="0" w:tentative="0">
      <w:start w:val="1"/>
      <w:numFmt w:val="japaneseCounting"/>
      <w:pStyle w:val="104"/>
      <w:lvlText w:val="第%1章"/>
      <w:lvlJc w:val="left"/>
      <w:pPr>
        <w:ind w:left="9351" w:hanging="420"/>
      </w:pPr>
      <w:rPr>
        <w:rFonts w:hint="eastAsia" w:ascii="黑体" w:eastAsia="黑体"/>
        <w:b w:val="0"/>
        <w:sz w:val="36"/>
        <w:lang w:val="en-US"/>
      </w:rPr>
    </w:lvl>
    <w:lvl w:ilvl="1" w:tentative="0">
      <w:start w:val="1"/>
      <w:numFmt w:val="decimal"/>
      <w:pStyle w:val="71"/>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72"/>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79"/>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7">
    <w:nsid w:val="3A75441E"/>
    <w:multiLevelType w:val="singleLevel"/>
    <w:tmpl w:val="3A75441E"/>
    <w:lvl w:ilvl="0" w:tentative="0">
      <w:start w:val="2"/>
      <w:numFmt w:val="decimal"/>
      <w:suff w:val="nothing"/>
      <w:lvlText w:val="%1、"/>
      <w:lvlJc w:val="left"/>
    </w:lvl>
  </w:abstractNum>
  <w:abstractNum w:abstractNumId="8">
    <w:nsid w:val="41322E1B"/>
    <w:multiLevelType w:val="singleLevel"/>
    <w:tmpl w:val="41322E1B"/>
    <w:lvl w:ilvl="0" w:tentative="0">
      <w:start w:val="1"/>
      <w:numFmt w:val="decimal"/>
      <w:lvlText w:val="(%1)"/>
      <w:lvlJc w:val="left"/>
      <w:pPr>
        <w:ind w:left="425" w:hanging="425"/>
      </w:pPr>
    </w:lvl>
  </w:abstractNum>
  <w:abstractNum w:abstractNumId="9">
    <w:nsid w:val="57EB6855"/>
    <w:multiLevelType w:val="singleLevel"/>
    <w:tmpl w:val="57EB6855"/>
    <w:lvl w:ilvl="0" w:tentative="0">
      <w:start w:val="1"/>
      <w:numFmt w:val="decimal"/>
      <w:lvlText w:val="(%1)"/>
      <w:lvlJc w:val="left"/>
      <w:pPr>
        <w:ind w:left="425" w:hanging="425"/>
      </w:pPr>
    </w:lvl>
  </w:abstractNum>
  <w:abstractNum w:abstractNumId="10">
    <w:nsid w:val="63C5F63C"/>
    <w:multiLevelType w:val="singleLevel"/>
    <w:tmpl w:val="63C5F63C"/>
    <w:lvl w:ilvl="0" w:tentative="0">
      <w:start w:val="6"/>
      <w:numFmt w:val="decimal"/>
      <w:suff w:val="nothing"/>
      <w:lvlText w:val="%1、"/>
      <w:lvlJc w:val="left"/>
    </w:lvl>
  </w:abstractNum>
  <w:abstractNum w:abstractNumId="11">
    <w:nsid w:val="654B0DA3"/>
    <w:multiLevelType w:val="singleLevel"/>
    <w:tmpl w:val="654B0DA3"/>
    <w:lvl w:ilvl="0" w:tentative="0">
      <w:start w:val="1"/>
      <w:numFmt w:val="chineseCounting"/>
      <w:suff w:val="nothing"/>
      <w:lvlText w:val="%1、"/>
      <w:lvlJc w:val="left"/>
      <w:rPr>
        <w:rFonts w:hint="eastAsia"/>
      </w:rPr>
    </w:lvl>
  </w:abstractNum>
  <w:abstractNum w:abstractNumId="12">
    <w:nsid w:val="7E9496B3"/>
    <w:multiLevelType w:val="singleLevel"/>
    <w:tmpl w:val="7E9496B3"/>
    <w:lvl w:ilvl="0" w:tentative="0">
      <w:start w:val="3"/>
      <w:numFmt w:val="chineseCounting"/>
      <w:suff w:val="space"/>
      <w:lvlText w:val="第%1章"/>
      <w:lvlJc w:val="left"/>
      <w:rPr>
        <w:rFonts w:hint="eastAsia"/>
      </w:rPr>
    </w:lvl>
  </w:abstractNum>
  <w:num w:numId="1">
    <w:abstractNumId w:val="0"/>
  </w:num>
  <w:num w:numId="2">
    <w:abstractNumId w:val="6"/>
  </w:num>
  <w:num w:numId="3">
    <w:abstractNumId w:val="2"/>
  </w:num>
  <w:num w:numId="4">
    <w:abstractNumId w:val="7"/>
  </w:num>
  <w:num w:numId="5">
    <w:abstractNumId w:val="10"/>
  </w:num>
  <w:num w:numId="6">
    <w:abstractNumId w:val="12"/>
  </w:num>
  <w:num w:numId="7">
    <w:abstractNumId w:val="11"/>
  </w:num>
  <w:num w:numId="8">
    <w:abstractNumId w:val="3"/>
  </w:num>
  <w:num w:numId="9">
    <w:abstractNumId w:val="8"/>
  </w:num>
  <w:num w:numId="10">
    <w:abstractNumId w:val="9"/>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5834C68"/>
    <w:rsid w:val="36257029"/>
    <w:rsid w:val="7BB85864"/>
    <w:rsid w:val="7E407C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3"/>
    <w:qFormat/>
    <w:uiPriority w:val="0"/>
    <w:pPr>
      <w:widowControl w:val="0"/>
      <w:autoSpaceDE/>
      <w:autoSpaceDN/>
      <w:snapToGrid/>
      <w:jc w:val="both"/>
    </w:pPr>
    <w:rPr>
      <w:rFonts w:ascii="Calibri" w:hAnsi="Calibri" w:eastAsia="宋体" w:cs="Calibri"/>
      <w:kern w:val="2"/>
      <w:sz w:val="21"/>
      <w:szCs w:val="24"/>
      <w:lang w:val="en-US" w:eastAsia="zh-CN" w:bidi="ar-SA"/>
    </w:rPr>
  </w:style>
  <w:style w:type="paragraph" w:styleId="10">
    <w:name w:val="heading 1"/>
    <w:basedOn w:val="1"/>
    <w:next w:val="1"/>
    <w:link w:val="110"/>
    <w:qFormat/>
    <w:uiPriority w:val="0"/>
    <w:pPr>
      <w:keepNext/>
      <w:outlineLvl w:val="0"/>
    </w:pPr>
    <w:rPr>
      <w:rFonts w:ascii="楷体_GB2312" w:eastAsia="楷体_GB2312"/>
      <w:sz w:val="28"/>
      <w:szCs w:val="20"/>
    </w:rPr>
  </w:style>
  <w:style w:type="paragraph" w:styleId="11">
    <w:name w:val="heading 2"/>
    <w:basedOn w:val="1"/>
    <w:next w:val="12"/>
    <w:link w:val="101"/>
    <w:qFormat/>
    <w:uiPriority w:val="0"/>
    <w:pPr>
      <w:keepNext/>
      <w:keepLines/>
      <w:spacing w:before="260" w:after="260" w:line="416" w:lineRule="auto"/>
      <w:outlineLvl w:val="1"/>
    </w:pPr>
    <w:rPr>
      <w:rFonts w:ascii="Arial" w:hAnsi="Arial" w:eastAsia="黑体"/>
      <w:b/>
      <w:bCs/>
      <w:kern w:val="2"/>
      <w:sz w:val="32"/>
      <w:szCs w:val="32"/>
    </w:rPr>
  </w:style>
  <w:style w:type="paragraph" w:styleId="13">
    <w:name w:val="heading 3"/>
    <w:basedOn w:val="1"/>
    <w:next w:val="1"/>
    <w:qFormat/>
    <w:uiPriority w:val="0"/>
    <w:pPr>
      <w:keepNext/>
      <w:keepLines/>
      <w:spacing w:before="260" w:after="260" w:line="416" w:lineRule="auto"/>
      <w:outlineLvl w:val="2"/>
    </w:pPr>
    <w:rPr>
      <w:b/>
      <w:sz w:val="32"/>
      <w:szCs w:val="20"/>
    </w:rPr>
  </w:style>
  <w:style w:type="paragraph" w:styleId="1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5">
    <w:name w:val="heading 5"/>
    <w:basedOn w:val="1"/>
    <w:next w:val="1"/>
    <w:qFormat/>
    <w:uiPriority w:val="0"/>
    <w:pPr>
      <w:keepNext/>
      <w:outlineLvl w:val="4"/>
    </w:pPr>
    <w:rPr>
      <w:rFonts w:ascii="宋体" w:hAnsi="宋体"/>
      <w:b/>
      <w:bCs/>
    </w:rPr>
  </w:style>
  <w:style w:type="character" w:default="1" w:styleId="47">
    <w:name w:val="Default Paragraph Font"/>
    <w:link w:val="1"/>
    <w:semiHidden/>
    <w:qFormat/>
    <w:uiPriority w:val="0"/>
  </w:style>
  <w:style w:type="table" w:default="1" w:styleId="45">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正文（缩进）"/>
    <w:basedOn w:val="1"/>
    <w:next w:val="3"/>
    <w:qFormat/>
    <w:uiPriority w:val="0"/>
    <w:pPr>
      <w:ind w:firstLine="480" w:firstLineChars="200"/>
    </w:pPr>
    <w:rPr>
      <w:rFonts w:ascii="Times New Roman" w:hAnsi="Times New Roman"/>
    </w:rPr>
  </w:style>
  <w:style w:type="paragraph" w:customStyle="1" w:styleId="3">
    <w:name w:val="Char Char Char Char Char Char Char Char Char"/>
    <w:next w:val="4"/>
    <w:qFormat/>
    <w:uiPriority w:val="0"/>
    <w:pPr>
      <w:widowControl w:val="0"/>
      <w:autoSpaceDE/>
      <w:autoSpaceDN/>
      <w:snapToGrid/>
      <w:ind w:left="360" w:firstLine="5784"/>
      <w:jc w:val="both"/>
    </w:pPr>
    <w:rPr>
      <w:rFonts w:ascii="Calibri" w:hAnsi="Calibri" w:eastAsia="宋体" w:cs="Calibri"/>
      <w:kern w:val="2"/>
      <w:sz w:val="21"/>
      <w:szCs w:val="24"/>
      <w:lang w:val="en-US" w:eastAsia="zh-CN" w:bidi="ar-SA"/>
    </w:rPr>
  </w:style>
  <w:style w:type="paragraph" w:customStyle="1" w:styleId="4">
    <w:name w:val="正文文本 21"/>
    <w:next w:val="5"/>
    <w:qFormat/>
    <w:uiPriority w:val="0"/>
    <w:pPr>
      <w:autoSpaceDE w:val="0"/>
      <w:autoSpaceDN w:val="0"/>
      <w:snapToGrid/>
      <w:ind w:left="720" w:firstLine="5680"/>
      <w:jc w:val="both"/>
    </w:pPr>
    <w:rPr>
      <w:rFonts w:ascii="Calibri" w:hAnsi="Calibri" w:eastAsia="宋体" w:cs="Calibri"/>
      <w:kern w:val="2"/>
      <w:sz w:val="21"/>
      <w:szCs w:val="24"/>
      <w:lang w:val="en-US" w:eastAsia="zh-CN" w:bidi="ar-SA"/>
    </w:rPr>
  </w:style>
  <w:style w:type="paragraph" w:customStyle="1" w:styleId="5">
    <w:name w:val="默认段落字体 Para Char Char Char Char Char Char Char"/>
    <w:next w:val="6"/>
    <w:qFormat/>
    <w:uiPriority w:val="0"/>
    <w:pPr>
      <w:widowControl w:val="0"/>
      <w:autoSpaceDE/>
      <w:autoSpaceDN/>
      <w:snapToGrid/>
      <w:ind w:firstLine="5632"/>
      <w:jc w:val="both"/>
    </w:pPr>
    <w:rPr>
      <w:rFonts w:ascii="Calibri" w:hAnsi="Calibri" w:eastAsia="宋体" w:cs="Calibri"/>
      <w:kern w:val="2"/>
      <w:sz w:val="21"/>
      <w:szCs w:val="24"/>
      <w:lang w:val="en-US" w:eastAsia="zh-CN" w:bidi="ar-SA"/>
    </w:rPr>
  </w:style>
  <w:style w:type="paragraph" w:customStyle="1" w:styleId="6">
    <w:name w:val="样式 首行缩进:  2 字符"/>
    <w:next w:val="7"/>
    <w:qFormat/>
    <w:uiPriority w:val="0"/>
    <w:pPr>
      <w:widowControl w:val="0"/>
      <w:autoSpaceDE/>
      <w:autoSpaceDN/>
      <w:snapToGrid/>
      <w:spacing w:line="360" w:lineRule="auto"/>
      <w:ind w:left="480" w:firstLine="5856"/>
      <w:jc w:val="both"/>
    </w:pPr>
    <w:rPr>
      <w:rFonts w:ascii="Calibri" w:hAnsi="Calibri" w:eastAsia="宋体" w:cs="Calibri"/>
      <w:kern w:val="2"/>
      <w:sz w:val="21"/>
      <w:szCs w:val="24"/>
      <w:lang w:val="en-US" w:eastAsia="zh-CN" w:bidi="ar-SA"/>
    </w:rPr>
  </w:style>
  <w:style w:type="paragraph" w:customStyle="1" w:styleId="7">
    <w:name w:val="样式 段后: 0.25 行"/>
    <w:next w:val="8"/>
    <w:qFormat/>
    <w:uiPriority w:val="0"/>
    <w:pPr>
      <w:autoSpaceDE/>
      <w:autoSpaceDN/>
      <w:snapToGrid/>
      <w:spacing w:line="300" w:lineRule="auto"/>
      <w:ind w:left="420" w:firstLine="5796"/>
      <w:jc w:val="both"/>
    </w:pPr>
    <w:rPr>
      <w:rFonts w:ascii="Calibri" w:hAnsi="Calibri" w:eastAsia="宋体" w:cs="Calibri"/>
      <w:kern w:val="2"/>
      <w:sz w:val="21"/>
      <w:szCs w:val="24"/>
      <w:lang w:val="en-US" w:eastAsia="zh-CN" w:bidi="ar-SA"/>
    </w:rPr>
  </w:style>
  <w:style w:type="paragraph" w:customStyle="1" w:styleId="8">
    <w:name w:val="正文 New New New New New New New New New New New New New New"/>
    <w:next w:val="9"/>
    <w:qFormat/>
    <w:uiPriority w:val="0"/>
    <w:pPr>
      <w:widowControl w:val="0"/>
      <w:autoSpaceDE/>
      <w:autoSpaceDN/>
      <w:snapToGrid/>
      <w:ind w:firstLine="2048"/>
      <w:jc w:val="both"/>
    </w:pPr>
    <w:rPr>
      <w:rFonts w:ascii="Calibri" w:hAnsi="Calibri" w:eastAsia="宋体" w:cs="Calibri"/>
      <w:kern w:val="2"/>
      <w:sz w:val="21"/>
      <w:szCs w:val="22"/>
      <w:lang w:val="en-US" w:eastAsia="zh-CN" w:bidi="ar-SA"/>
    </w:rPr>
  </w:style>
  <w:style w:type="paragraph" w:styleId="9">
    <w:name w:val="toc 9"/>
    <w:basedOn w:val="1"/>
    <w:next w:val="1"/>
    <w:semiHidden/>
    <w:qFormat/>
    <w:uiPriority w:val="0"/>
    <w:pPr>
      <w:ind w:left="3360" w:leftChars="1600"/>
    </w:pPr>
  </w:style>
  <w:style w:type="paragraph" w:styleId="12">
    <w:name w:val="Normal Indent"/>
    <w:basedOn w:val="1"/>
    <w:link w:val="90"/>
    <w:qFormat/>
    <w:uiPriority w:val="0"/>
    <w:pPr>
      <w:ind w:firstLine="420"/>
    </w:pPr>
    <w:rPr>
      <w:szCs w:val="20"/>
    </w:rPr>
  </w:style>
  <w:style w:type="paragraph" w:styleId="16">
    <w:name w:val="toc 7"/>
    <w:basedOn w:val="1"/>
    <w:next w:val="1"/>
    <w:semiHidden/>
    <w:qFormat/>
    <w:uiPriority w:val="0"/>
    <w:pPr>
      <w:ind w:left="2520" w:leftChars="1200"/>
    </w:pPr>
  </w:style>
  <w:style w:type="paragraph" w:styleId="17">
    <w:name w:val="Document Map"/>
    <w:basedOn w:val="1"/>
    <w:semiHidden/>
    <w:qFormat/>
    <w:uiPriority w:val="0"/>
    <w:pPr>
      <w:shd w:val="clear" w:color="auto" w:fill="000080"/>
    </w:pPr>
  </w:style>
  <w:style w:type="paragraph" w:styleId="18">
    <w:name w:val="annotation text"/>
    <w:basedOn w:val="1"/>
    <w:link w:val="55"/>
    <w:qFormat/>
    <w:uiPriority w:val="0"/>
    <w:pPr>
      <w:jc w:val="left"/>
    </w:pPr>
  </w:style>
  <w:style w:type="paragraph" w:styleId="19">
    <w:name w:val="Body Text 3"/>
    <w:basedOn w:val="1"/>
    <w:qFormat/>
    <w:uiPriority w:val="0"/>
    <w:rPr>
      <w:rFonts w:ascii="仿宋_GB2312" w:hAnsi="Arial" w:eastAsia="仿宋_GB2312"/>
      <w:sz w:val="32"/>
      <w:szCs w:val="20"/>
    </w:rPr>
  </w:style>
  <w:style w:type="paragraph" w:styleId="20">
    <w:name w:val="Body Text"/>
    <w:basedOn w:val="1"/>
    <w:next w:val="1"/>
    <w:qFormat/>
    <w:uiPriority w:val="0"/>
    <w:rPr>
      <w:rFonts w:ascii="楷体_GB2312" w:hAnsi="Arial" w:eastAsia="楷体_GB2312"/>
      <w:sz w:val="28"/>
      <w:szCs w:val="20"/>
    </w:rPr>
  </w:style>
  <w:style w:type="paragraph" w:styleId="21">
    <w:name w:val="Body Text Indent"/>
    <w:basedOn w:val="1"/>
    <w:next w:val="1"/>
    <w:link w:val="67"/>
    <w:qFormat/>
    <w:uiPriority w:val="0"/>
    <w:pPr>
      <w:ind w:firstLine="645"/>
    </w:pPr>
    <w:rPr>
      <w:rFonts w:ascii="楷体_GB2312" w:eastAsia="楷体_GB2312"/>
      <w:sz w:val="32"/>
      <w:szCs w:val="20"/>
    </w:rPr>
  </w:style>
  <w:style w:type="paragraph" w:styleId="22">
    <w:name w:val="List Bullet 2"/>
    <w:basedOn w:val="1"/>
    <w:qFormat/>
    <w:uiPriority w:val="0"/>
    <w:pPr>
      <w:numPr>
        <w:ilvl w:val="0"/>
        <w:numId w:val="1"/>
      </w:numPr>
      <w:tabs>
        <w:tab w:val="clear" w:pos="780"/>
      </w:tabs>
    </w:pPr>
  </w:style>
  <w:style w:type="paragraph" w:styleId="23">
    <w:name w:val="index 4"/>
    <w:basedOn w:val="1"/>
    <w:next w:val="1"/>
    <w:semiHidden/>
    <w:qFormat/>
    <w:uiPriority w:val="0"/>
    <w:pPr>
      <w:ind w:left="1260"/>
    </w:pPr>
  </w:style>
  <w:style w:type="paragraph" w:styleId="24">
    <w:name w:val="toc 5"/>
    <w:basedOn w:val="1"/>
    <w:next w:val="1"/>
    <w:semiHidden/>
    <w:qFormat/>
    <w:uiPriority w:val="0"/>
    <w:pPr>
      <w:ind w:left="1680" w:leftChars="800"/>
    </w:pPr>
  </w:style>
  <w:style w:type="paragraph" w:styleId="25">
    <w:name w:val="toc 3"/>
    <w:basedOn w:val="1"/>
    <w:next w:val="1"/>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26">
    <w:name w:val="Plain Text"/>
    <w:basedOn w:val="1"/>
    <w:link w:val="91"/>
    <w:qFormat/>
    <w:uiPriority w:val="0"/>
    <w:rPr>
      <w:rFonts w:hint="eastAsia" w:ascii="宋体" w:hAnsi="Courier New" w:eastAsia="楷体_GB2312"/>
      <w:sz w:val="28"/>
      <w:szCs w:val="20"/>
    </w:rPr>
  </w:style>
  <w:style w:type="paragraph" w:styleId="27">
    <w:name w:val="toc 8"/>
    <w:basedOn w:val="1"/>
    <w:next w:val="1"/>
    <w:semiHidden/>
    <w:qFormat/>
    <w:uiPriority w:val="0"/>
    <w:pPr>
      <w:ind w:left="2940" w:leftChars="1400"/>
    </w:pPr>
  </w:style>
  <w:style w:type="paragraph" w:styleId="28">
    <w:name w:val="Date"/>
    <w:basedOn w:val="1"/>
    <w:next w:val="1"/>
    <w:qFormat/>
    <w:uiPriority w:val="0"/>
    <w:rPr>
      <w:sz w:val="24"/>
      <w:szCs w:val="20"/>
    </w:rPr>
  </w:style>
  <w:style w:type="paragraph" w:styleId="29">
    <w:name w:val="Body Text Indent 2"/>
    <w:basedOn w:val="1"/>
    <w:qFormat/>
    <w:uiPriority w:val="0"/>
    <w:pPr>
      <w:ind w:firstLine="560" w:firstLineChars="200"/>
    </w:pPr>
    <w:rPr>
      <w:rFonts w:ascii="宋体" w:hAnsi="宋体"/>
      <w:sz w:val="28"/>
    </w:rPr>
  </w:style>
  <w:style w:type="paragraph" w:styleId="30">
    <w:name w:val="Balloon Text"/>
    <w:basedOn w:val="1"/>
    <w:semiHidden/>
    <w:qFormat/>
    <w:uiPriority w:val="0"/>
    <w:rPr>
      <w:sz w:val="18"/>
      <w:szCs w:val="18"/>
    </w:rPr>
  </w:style>
  <w:style w:type="paragraph" w:styleId="31">
    <w:name w:val="footer"/>
    <w:basedOn w:val="1"/>
    <w:link w:val="54"/>
    <w:qFormat/>
    <w:uiPriority w:val="99"/>
    <w:pPr>
      <w:tabs>
        <w:tab w:val="center" w:pos="4153"/>
        <w:tab w:val="right" w:pos="8306"/>
      </w:tabs>
      <w:jc w:val="left"/>
    </w:pPr>
    <w:rPr>
      <w:sz w:val="18"/>
      <w:szCs w:val="20"/>
    </w:rPr>
  </w:style>
  <w:style w:type="paragraph" w:styleId="32">
    <w:name w:val="envelope return"/>
    <w:basedOn w:val="1"/>
    <w:qFormat/>
    <w:uiPriority w:val="99"/>
    <w:rPr>
      <w:rFonts w:ascii="Arial" w:hAnsi="Arial"/>
    </w:rPr>
  </w:style>
  <w:style w:type="paragraph" w:styleId="33">
    <w:name w:val="header"/>
    <w:basedOn w:val="1"/>
    <w:link w:val="57"/>
    <w:qFormat/>
    <w:uiPriority w:val="99"/>
    <w:pPr>
      <w:pBdr>
        <w:bottom w:val="single" w:color="000000" w:sz="6" w:space="1"/>
      </w:pBdr>
      <w:tabs>
        <w:tab w:val="center" w:pos="4153"/>
        <w:tab w:val="right" w:pos="8306"/>
      </w:tabs>
      <w:jc w:val="center"/>
    </w:pPr>
    <w:rPr>
      <w:sz w:val="18"/>
      <w:szCs w:val="18"/>
    </w:rPr>
  </w:style>
  <w:style w:type="paragraph" w:styleId="34">
    <w:name w:val="toc 1"/>
    <w:basedOn w:val="1"/>
    <w:next w:val="1"/>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35">
    <w:name w:val="toc 4"/>
    <w:basedOn w:val="1"/>
    <w:next w:val="1"/>
    <w:semiHidden/>
    <w:qFormat/>
    <w:uiPriority w:val="0"/>
    <w:pPr>
      <w:ind w:left="1260" w:leftChars="600"/>
    </w:pPr>
  </w:style>
  <w:style w:type="paragraph" w:styleId="36">
    <w:name w:val="toc 6"/>
    <w:basedOn w:val="1"/>
    <w:next w:val="1"/>
    <w:semiHidden/>
    <w:qFormat/>
    <w:uiPriority w:val="0"/>
    <w:pPr>
      <w:ind w:left="2100" w:leftChars="1000"/>
    </w:pPr>
  </w:style>
  <w:style w:type="paragraph" w:styleId="37">
    <w:name w:val="Body Text Indent 3"/>
    <w:basedOn w:val="1"/>
    <w:qFormat/>
    <w:uiPriority w:val="0"/>
    <w:pPr>
      <w:ind w:firstLine="523"/>
    </w:pPr>
    <w:rPr>
      <w:rFonts w:ascii="仿宋_GB2312" w:hAnsi="宋体" w:eastAsia="仿宋_GB2312"/>
      <w:sz w:val="24"/>
    </w:rPr>
  </w:style>
  <w:style w:type="paragraph" w:styleId="38">
    <w:name w:val="toc 2"/>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styleId="39">
    <w:name w:val="Body Text 2"/>
    <w:basedOn w:val="1"/>
    <w:qFormat/>
    <w:uiPriority w:val="0"/>
    <w:pPr>
      <w:jc w:val="center"/>
    </w:pPr>
    <w:rPr>
      <w:rFonts w:ascii="仿宋_GB2312" w:eastAsia="仿宋_GB2312"/>
      <w:sz w:val="44"/>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rPr>
      <w:rFonts w:ascii="宋体" w:hAnsi="宋体"/>
      <w:szCs w:val="18"/>
    </w:rPr>
  </w:style>
  <w:style w:type="paragraph" w:styleId="43">
    <w:name w:val="annotation subject"/>
    <w:basedOn w:val="18"/>
    <w:next w:val="18"/>
    <w:link w:val="105"/>
    <w:qFormat/>
    <w:uiPriority w:val="0"/>
    <w:rPr>
      <w:b/>
      <w:bCs/>
    </w:rPr>
  </w:style>
  <w:style w:type="paragraph" w:styleId="44">
    <w:name w:val="Body Text First Indent 2"/>
    <w:basedOn w:val="21"/>
    <w:link w:val="66"/>
    <w:qFormat/>
    <w:uiPriority w:val="0"/>
    <w:pPr>
      <w:spacing w:after="120"/>
      <w:ind w:left="420" w:leftChars="200" w:firstLine="420" w:firstLineChars="200"/>
    </w:pPr>
    <w:rPr>
      <w:rFonts w:ascii="Times New Roman" w:eastAsia="宋体"/>
      <w:sz w:val="21"/>
      <w:szCs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link w:val="1"/>
    <w:qFormat/>
    <w:uiPriority w:val="0"/>
    <w:rPr>
      <w:b/>
      <w:bCs/>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Emphasis"/>
    <w:link w:val="1"/>
    <w:qFormat/>
    <w:uiPriority w:val="0"/>
    <w:rPr>
      <w:i/>
    </w:rPr>
  </w:style>
  <w:style w:type="character" w:styleId="52">
    <w:name w:val="Hyperlink"/>
    <w:qFormat/>
    <w:uiPriority w:val="0"/>
    <w:rPr>
      <w:color w:val="000000"/>
      <w:u w:val="none"/>
    </w:rPr>
  </w:style>
  <w:style w:type="character" w:styleId="53">
    <w:name w:val="annotation reference"/>
    <w:link w:val="1"/>
    <w:qFormat/>
    <w:uiPriority w:val="0"/>
    <w:rPr>
      <w:sz w:val="21"/>
      <w:szCs w:val="21"/>
    </w:rPr>
  </w:style>
  <w:style w:type="character" w:customStyle="1" w:styleId="54">
    <w:name w:val="页脚 Char"/>
    <w:link w:val="31"/>
    <w:qFormat/>
    <w:uiPriority w:val="99"/>
    <w:rPr>
      <w:kern w:val="2"/>
      <w:sz w:val="18"/>
    </w:rPr>
  </w:style>
  <w:style w:type="character" w:customStyle="1" w:styleId="55">
    <w:name w:val="批注文字 Char"/>
    <w:link w:val="18"/>
    <w:qFormat/>
    <w:uiPriority w:val="0"/>
    <w:rPr>
      <w:kern w:val="2"/>
      <w:sz w:val="21"/>
      <w:szCs w:val="24"/>
    </w:rPr>
  </w:style>
  <w:style w:type="character" w:customStyle="1" w:styleId="56">
    <w:name w:val="NormalCharacter1"/>
    <w:semiHidden/>
    <w:qFormat/>
    <w:uiPriority w:val="0"/>
  </w:style>
  <w:style w:type="character" w:customStyle="1" w:styleId="57">
    <w:name w:val="页眉 Char"/>
    <w:link w:val="33"/>
    <w:qFormat/>
    <w:uiPriority w:val="99"/>
    <w:rPr>
      <w:kern w:val="2"/>
      <w:sz w:val="18"/>
      <w:szCs w:val="18"/>
    </w:rPr>
  </w:style>
  <w:style w:type="paragraph" w:customStyle="1" w:styleId="58">
    <w:name w:val="段"/>
    <w:next w:val="1"/>
    <w:qFormat/>
    <w:uiPriority w:val="0"/>
    <w:pPr>
      <w:autoSpaceDE w:val="0"/>
      <w:autoSpaceDN w:val="0"/>
      <w:snapToGrid/>
      <w:ind w:firstLine="420" w:firstLineChars="200"/>
      <w:jc w:val="both"/>
    </w:pPr>
    <w:rPr>
      <w:rFonts w:ascii="宋体" w:hAnsi="Calibri" w:eastAsia="宋体" w:cs="Calibri"/>
      <w:kern w:val="2"/>
      <w:sz w:val="21"/>
      <w:szCs w:val="22"/>
      <w:lang w:val="en-US" w:eastAsia="zh-CN" w:bidi="ar-SA"/>
    </w:rPr>
  </w:style>
  <w:style w:type="paragraph" w:customStyle="1" w:styleId="59">
    <w:name w:val="Table Text"/>
    <w:qFormat/>
    <w:uiPriority w:val="0"/>
    <w:pPr>
      <w:autoSpaceDE/>
      <w:autoSpaceDN/>
      <w:snapToGrid/>
      <w:spacing w:before="143" w:after="80"/>
      <w:jc w:val="center"/>
    </w:pPr>
    <w:rPr>
      <w:rFonts w:ascii="仿宋_GB2312" w:hAnsi="宋体" w:eastAsia="仿宋_GB2312" w:cs="Calibri"/>
      <w:kern w:val="2"/>
      <w:sz w:val="24"/>
      <w:szCs w:val="22"/>
      <w:lang w:val="en-US" w:eastAsia="zh-CN" w:bidi="ar-SA"/>
    </w:rPr>
  </w:style>
  <w:style w:type="paragraph" w:customStyle="1" w:styleId="60">
    <w:name w:val="标题 4_0"/>
    <w:basedOn w:val="61"/>
    <w:next w:val="62"/>
    <w:qFormat/>
    <w:uiPriority w:val="0"/>
    <w:pPr>
      <w:keepNext/>
      <w:keepLines/>
      <w:spacing w:before="280" w:after="290" w:line="372" w:lineRule="auto"/>
      <w:outlineLvl w:val="3"/>
    </w:pPr>
    <w:rPr>
      <w:rFonts w:ascii="Cambria" w:hAnsi="Cambria"/>
      <w:b/>
      <w:bCs/>
      <w:sz w:val="28"/>
      <w:szCs w:val="28"/>
    </w:rPr>
  </w:style>
  <w:style w:type="paragraph" w:customStyle="1" w:styleId="61">
    <w:name w:val="正文_0"/>
    <w:qFormat/>
    <w:uiPriority w:val="0"/>
    <w:pPr>
      <w:widowControl w:val="0"/>
      <w:autoSpaceDE/>
      <w:autoSpaceDN/>
      <w:snapToGrid/>
      <w:jc w:val="both"/>
    </w:pPr>
    <w:rPr>
      <w:rFonts w:ascii="Calibri" w:hAnsi="Calibri" w:eastAsia="宋体" w:cs="Calibri"/>
      <w:kern w:val="2"/>
      <w:sz w:val="21"/>
      <w:szCs w:val="22"/>
      <w:lang w:val="en-US" w:eastAsia="zh-CN" w:bidi="ar-SA"/>
    </w:rPr>
  </w:style>
  <w:style w:type="paragraph" w:customStyle="1" w:styleId="62">
    <w:name w:val="正文_0_0_0_0"/>
    <w:qFormat/>
    <w:uiPriority w:val="0"/>
    <w:pPr>
      <w:widowControl w:val="0"/>
      <w:autoSpaceDE/>
      <w:autoSpaceDN/>
      <w:snapToGrid/>
      <w:jc w:val="both"/>
    </w:pPr>
    <w:rPr>
      <w:rFonts w:ascii="Calibri" w:hAnsi="Calibri" w:eastAsia="宋体" w:cs="Calibri"/>
      <w:kern w:val="2"/>
      <w:sz w:val="21"/>
      <w:szCs w:val="22"/>
      <w:lang w:val="en-US" w:eastAsia="zh-CN" w:bidi="ar-SA"/>
    </w:rPr>
  </w:style>
  <w:style w:type="paragraph" w:customStyle="1" w:styleId="63">
    <w:name w:val="Normal1"/>
    <w:basedOn w:val="1"/>
    <w:qFormat/>
    <w:uiPriority w:val="99"/>
    <w:rPr>
      <w:rFonts w:eastAsia="Calibri" w:cs="宋体"/>
      <w:color w:val="000000"/>
      <w:sz w:val="20"/>
      <w:szCs w:val="20"/>
      <w:lang w:val="zh-CN"/>
    </w:rPr>
  </w:style>
  <w:style w:type="character" w:customStyle="1" w:styleId="64">
    <w:name w:val="列出段落 Char"/>
    <w:link w:val="65"/>
    <w:qFormat/>
    <w:locked/>
    <w:uiPriority w:val="0"/>
    <w:rPr>
      <w:rFonts w:ascii="Calibri" w:hAnsi="Calibri"/>
      <w:sz w:val="24"/>
      <w:szCs w:val="24"/>
      <w:lang w:eastAsia="en-US" w:bidi="en-US"/>
    </w:rPr>
  </w:style>
  <w:style w:type="paragraph" w:customStyle="1" w:styleId="65">
    <w:name w:val="列出段落1"/>
    <w:basedOn w:val="1"/>
    <w:link w:val="64"/>
    <w:qFormat/>
    <w:uiPriority w:val="0"/>
    <w:pPr>
      <w:widowControl/>
      <w:ind w:left="720"/>
      <w:contextualSpacing/>
      <w:jc w:val="left"/>
    </w:pPr>
    <w:rPr>
      <w:kern w:val="0"/>
      <w:sz w:val="24"/>
      <w:lang w:eastAsia="en-US" w:bidi="en-US"/>
    </w:rPr>
  </w:style>
  <w:style w:type="character" w:customStyle="1" w:styleId="66">
    <w:name w:val="正文首行缩进 2 Char"/>
    <w:link w:val="44"/>
    <w:qFormat/>
    <w:uiPriority w:val="0"/>
  </w:style>
  <w:style w:type="character" w:customStyle="1" w:styleId="67">
    <w:name w:val="正文文本缩进 Char"/>
    <w:link w:val="21"/>
    <w:qFormat/>
    <w:uiPriority w:val="0"/>
    <w:rPr>
      <w:rFonts w:ascii="楷体_GB2312" w:eastAsia="楷体_GB2312"/>
      <w:kern w:val="2"/>
      <w:sz w:val="32"/>
    </w:rPr>
  </w:style>
  <w:style w:type="paragraph" w:customStyle="1" w:styleId="68">
    <w:name w:val="正文_2"/>
    <w:qFormat/>
    <w:uiPriority w:val="0"/>
    <w:pPr>
      <w:autoSpaceDE/>
      <w:autoSpaceDN/>
      <w:snapToGrid/>
    </w:pPr>
    <w:rPr>
      <w:rFonts w:ascii="Calibri" w:hAnsi="Calibri" w:eastAsia="宋体" w:cs="Calibri"/>
      <w:kern w:val="2"/>
      <w:sz w:val="21"/>
      <w:szCs w:val="22"/>
      <w:lang w:val="en-US" w:eastAsia="zh-CN" w:bidi="ar-SA"/>
    </w:rPr>
  </w:style>
  <w:style w:type="paragraph" w:customStyle="1" w:styleId="69">
    <w:name w:val="Default"/>
    <w:qFormat/>
    <w:uiPriority w:val="0"/>
    <w:pPr>
      <w:widowControl w:val="0"/>
      <w:autoSpaceDE w:val="0"/>
      <w:autoSpaceDN w:val="0"/>
      <w:snapToGrid/>
    </w:pPr>
    <w:rPr>
      <w:rFonts w:ascii="宋体" w:hAnsi="Calibri" w:eastAsia="宋体" w:cs="宋体"/>
      <w:color w:val="000000"/>
      <w:kern w:val="2"/>
      <w:sz w:val="24"/>
      <w:szCs w:val="24"/>
      <w:lang w:val="en-US" w:eastAsia="zh-CN" w:bidi="ar-SA"/>
    </w:rPr>
  </w:style>
  <w:style w:type="paragraph" w:customStyle="1" w:styleId="70">
    <w:name w:val="普通正文"/>
    <w:basedOn w:val="1"/>
    <w:qFormat/>
    <w:uiPriority w:val="0"/>
    <w:pPr>
      <w:spacing w:before="120" w:after="120" w:line="360" w:lineRule="auto"/>
      <w:ind w:firstLine="480"/>
      <w:jc w:val="left"/>
    </w:pPr>
    <w:rPr>
      <w:rFonts w:ascii="Arial" w:hAnsi="Arial"/>
      <w:kern w:val="0"/>
      <w:sz w:val="24"/>
    </w:rPr>
  </w:style>
  <w:style w:type="paragraph" w:customStyle="1" w:styleId="71">
    <w:name w:val="正文 1.1"/>
    <w:basedOn w:val="1"/>
    <w:next w:val="72"/>
    <w:qFormat/>
    <w:uiPriority w:val="0"/>
    <w:pPr>
      <w:numPr>
        <w:ilvl w:val="1"/>
        <w:numId w:val="2"/>
      </w:numPr>
      <w:tabs>
        <w:tab w:val="clear" w:pos="851"/>
      </w:tabs>
      <w:spacing w:line="360" w:lineRule="auto"/>
      <w:ind w:left="980" w:hanging="980" w:hangingChars="350"/>
      <w:outlineLvl w:val="1"/>
    </w:pPr>
    <w:rPr>
      <w:rFonts w:ascii="仿宋" w:hAnsi="仿宋" w:eastAsia="仿宋"/>
      <w:b/>
      <w:kern w:val="0"/>
      <w:sz w:val="28"/>
      <w:szCs w:val="21"/>
    </w:rPr>
  </w:style>
  <w:style w:type="paragraph" w:customStyle="1" w:styleId="72">
    <w:name w:val="正文 1.1.1"/>
    <w:basedOn w:val="1"/>
    <w:next w:val="1"/>
    <w:qFormat/>
    <w:uiPriority w:val="0"/>
    <w:pPr>
      <w:numPr>
        <w:ilvl w:val="2"/>
        <w:numId w:val="2"/>
      </w:numPr>
      <w:tabs>
        <w:tab w:val="clear" w:pos="851"/>
      </w:tabs>
      <w:spacing w:line="360" w:lineRule="auto"/>
      <w:outlineLvl w:val="2"/>
    </w:pPr>
    <w:rPr>
      <w:rFonts w:ascii="宋体" w:hAnsi="宋体"/>
      <w:color w:val="000000"/>
      <w:kern w:val="0"/>
      <w:sz w:val="28"/>
      <w:szCs w:val="21"/>
    </w:rPr>
  </w:style>
  <w:style w:type="paragraph" w:customStyle="1" w:styleId="73">
    <w:name w:val="正文空2格  1."/>
    <w:basedOn w:val="1"/>
    <w:qFormat/>
    <w:uiPriority w:val="0"/>
    <w:pPr>
      <w:spacing w:line="360" w:lineRule="auto"/>
      <w:ind w:firstLine="480" w:firstLineChars="200"/>
    </w:pPr>
    <w:rPr>
      <w:rFonts w:ascii="宋体" w:eastAsia="仿宋" w:cs="宋体"/>
      <w:kern w:val="0"/>
      <w:sz w:val="28"/>
      <w:szCs w:val="20"/>
    </w:rPr>
  </w:style>
  <w:style w:type="paragraph" w:customStyle="1" w:styleId="74">
    <w:name w:val="Address"/>
    <w:basedOn w:val="1"/>
    <w:next w:val="1"/>
    <w:qFormat/>
    <w:uiPriority w:val="0"/>
    <w:pPr>
      <w:autoSpaceDE w:val="0"/>
      <w:autoSpaceDN w:val="0"/>
      <w:jc w:val="left"/>
    </w:pPr>
    <w:rPr>
      <w:i/>
      <w:kern w:val="0"/>
      <w:sz w:val="24"/>
      <w:szCs w:val="20"/>
    </w:rPr>
  </w:style>
  <w:style w:type="paragraph" w:customStyle="1" w:styleId="75">
    <w:name w:val="附录1"/>
    <w:qFormat/>
    <w:uiPriority w:val="0"/>
    <w:pPr>
      <w:numPr>
        <w:ilvl w:val="0"/>
        <w:numId w:val="3"/>
      </w:numPr>
      <w:tabs>
        <w:tab w:val="clear" w:pos="907"/>
      </w:tabs>
      <w:autoSpaceDE/>
      <w:autoSpaceDN/>
      <w:snapToGrid/>
      <w:spacing w:before="240" w:line="600" w:lineRule="atLeast"/>
    </w:pPr>
    <w:rPr>
      <w:rFonts w:ascii="Calibri" w:hAnsi="Calibri" w:eastAsia="宋体" w:cs="Calibri"/>
      <w:b/>
      <w:i/>
      <w:kern w:val="2"/>
      <w:sz w:val="28"/>
      <w:szCs w:val="22"/>
      <w:lang w:val="en-US" w:eastAsia="zh-CN" w:bidi="ar-SA"/>
    </w:rPr>
  </w:style>
  <w:style w:type="paragraph" w:customStyle="1" w:styleId="76">
    <w:name w:val="Char Char Char Char1 Char Char Char"/>
    <w:basedOn w:val="17"/>
    <w:qFormat/>
    <w:uiPriority w:val="0"/>
    <w:pPr>
      <w:spacing w:line="360" w:lineRule="auto"/>
    </w:pPr>
    <w:rPr>
      <w:rFonts w:ascii="Tahoma" w:hAnsi="Tahoma"/>
      <w:sz w:val="24"/>
    </w:rPr>
  </w:style>
  <w:style w:type="paragraph" w:customStyle="1" w:styleId="77">
    <w:name w:val="c-line-clamp1"/>
    <w:basedOn w:val="1"/>
    <w:qFormat/>
    <w:uiPriority w:val="0"/>
    <w:pPr>
      <w:jc w:val="left"/>
    </w:pPr>
    <w:rPr>
      <w:kern w:val="0"/>
      <w:lang w:val="en-US" w:eastAsia="zh-CN" w:bidi="ar"/>
    </w:rPr>
  </w:style>
  <w:style w:type="paragraph" w:customStyle="1" w:styleId="78">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79">
    <w:name w:val="第四级"/>
    <w:basedOn w:val="1"/>
    <w:next w:val="1"/>
    <w:qFormat/>
    <w:uiPriority w:val="0"/>
    <w:pPr>
      <w:numPr>
        <w:ilvl w:val="3"/>
        <w:numId w:val="2"/>
      </w:numPr>
      <w:tabs>
        <w:tab w:val="clear" w:pos="1134"/>
      </w:tabs>
      <w:spacing w:line="360" w:lineRule="auto"/>
    </w:pPr>
    <w:rPr>
      <w:rFonts w:ascii="宋体" w:hAnsi="宋体" w:eastAsia="仿宋"/>
      <w:kern w:val="0"/>
      <w:sz w:val="28"/>
      <w:szCs w:val="21"/>
    </w:rPr>
  </w:style>
  <w:style w:type="paragraph" w:customStyle="1" w:styleId="80">
    <w:name w:val="默认段落字体 Para Char Char Char Char Char Char Char Char Char1 Char Char Char Char Char Char Char"/>
    <w:basedOn w:val="17"/>
    <w:qFormat/>
    <w:uiPriority w:val="0"/>
    <w:rPr>
      <w:rFonts w:ascii="Tahoma" w:hAnsi="Tahoma"/>
      <w:sz w:val="24"/>
    </w:rPr>
  </w:style>
  <w:style w:type="paragraph" w:customStyle="1" w:styleId="81">
    <w:name w:val="正文_0_0"/>
    <w:qFormat/>
    <w:uiPriority w:val="0"/>
    <w:pPr>
      <w:widowControl w:val="0"/>
      <w:autoSpaceDE/>
      <w:autoSpaceDN/>
      <w:snapToGrid/>
      <w:jc w:val="both"/>
    </w:pPr>
    <w:rPr>
      <w:rFonts w:ascii="Calibri" w:hAnsi="Calibri" w:eastAsia="宋体" w:cs="Calibri"/>
      <w:kern w:val="2"/>
      <w:sz w:val="21"/>
      <w:szCs w:val="22"/>
      <w:lang w:val="en-US" w:eastAsia="zh-CN" w:bidi="ar-SA"/>
    </w:rPr>
  </w:style>
  <w:style w:type="paragraph" w:customStyle="1" w:styleId="82">
    <w:name w:val="Normal11"/>
    <w:qFormat/>
    <w:uiPriority w:val="0"/>
    <w:pPr>
      <w:widowControl w:val="0"/>
      <w:autoSpaceDE/>
      <w:autoSpaceDN/>
      <w:snapToGrid/>
      <w:jc w:val="both"/>
    </w:pPr>
    <w:rPr>
      <w:rFonts w:ascii="Calibri" w:hAnsi="Calibri" w:eastAsia="宋体" w:cs="Calibri"/>
      <w:kern w:val="2"/>
      <w:sz w:val="21"/>
      <w:szCs w:val="22"/>
      <w:lang w:val="en-US" w:eastAsia="zh-CN" w:bidi="ar-SA"/>
    </w:rPr>
  </w:style>
  <w:style w:type="character" w:customStyle="1" w:styleId="83">
    <w:name w:val="Variable"/>
    <w:link w:val="1"/>
    <w:qFormat/>
    <w:uiPriority w:val="0"/>
    <w:rPr>
      <w:i/>
    </w:rPr>
  </w:style>
  <w:style w:type="paragraph" w:customStyle="1" w:styleId="84">
    <w:name w:val="Coms Alinea"/>
    <w:qFormat/>
    <w:uiPriority w:val="0"/>
    <w:pPr>
      <w:widowControl w:val="0"/>
      <w:autoSpaceDE/>
      <w:autoSpaceDN/>
      <w:snapToGrid/>
    </w:pPr>
    <w:rPr>
      <w:rFonts w:ascii="Arial" w:hAnsi="Arial" w:eastAsia="宋体" w:cs="Arial"/>
      <w:kern w:val="2"/>
      <w:sz w:val="21"/>
      <w:szCs w:val="22"/>
      <w:lang w:val="en-US" w:eastAsia="zh-CN" w:bidi="ar-SA"/>
    </w:rPr>
  </w:style>
  <w:style w:type="paragraph" w:customStyle="1" w:styleId="85">
    <w:name w:val="Blockquote"/>
    <w:basedOn w:val="1"/>
    <w:qFormat/>
    <w:uiPriority w:val="0"/>
    <w:pPr>
      <w:widowControl w:val="0"/>
      <w:autoSpaceDE w:val="0"/>
      <w:autoSpaceDN w:val="0"/>
      <w:spacing w:before="100" w:after="100"/>
      <w:ind w:left="360" w:right="360"/>
    </w:pPr>
    <w:rPr>
      <w:sz w:val="24"/>
    </w:rPr>
  </w:style>
  <w:style w:type="character" w:customStyle="1" w:styleId="86">
    <w:name w:val=" Char Char7"/>
    <w:link w:val="11"/>
    <w:qFormat/>
    <w:uiPriority w:val="0"/>
    <w:rPr>
      <w:rFonts w:ascii="Arial" w:hAnsi="Arial" w:eastAsia="幼圆"/>
      <w:b/>
      <w:kern w:val="2"/>
      <w:sz w:val="44"/>
    </w:rPr>
  </w:style>
  <w:style w:type="character" w:customStyle="1" w:styleId="87">
    <w:name w:val="小四 段落 宋体 Char Char Char1"/>
    <w:link w:val="1"/>
    <w:qFormat/>
    <w:uiPriority w:val="0"/>
    <w:rPr>
      <w:rFonts w:ascii="宋体" w:hAnsi="宋体" w:eastAsia="宋体"/>
      <w:kern w:val="2"/>
      <w:sz w:val="24"/>
      <w:szCs w:val="24"/>
      <w:lang w:val="en-US" w:eastAsia="zh-CN" w:bidi="ar-SA"/>
    </w:rPr>
  </w:style>
  <w:style w:type="paragraph" w:customStyle="1" w:styleId="88">
    <w:name w:val="_Style 116"/>
    <w:qFormat/>
    <w:uiPriority w:val="99"/>
    <w:pPr>
      <w:autoSpaceDE/>
      <w:autoSpaceDN/>
      <w:snapToGrid/>
    </w:pPr>
    <w:rPr>
      <w:rFonts w:ascii="Times New Roman" w:hAnsi="Times New Roman" w:eastAsia="宋体" w:cs="Times New Roman"/>
      <w:kern w:val="2"/>
      <w:sz w:val="24"/>
      <w:szCs w:val="22"/>
      <w:lang w:val="en-US" w:eastAsia="zh-CN" w:bidi="ar-SA"/>
    </w:rPr>
  </w:style>
  <w:style w:type="paragraph" w:customStyle="1" w:styleId="89">
    <w:name w:val="标题 3_0"/>
    <w:basedOn w:val="62"/>
    <w:next w:val="62"/>
    <w:qFormat/>
    <w:uiPriority w:val="9"/>
    <w:pPr>
      <w:keepNext/>
      <w:keepLines/>
      <w:spacing w:before="260" w:after="260" w:line="413" w:lineRule="auto"/>
      <w:outlineLvl w:val="2"/>
    </w:pPr>
    <w:rPr>
      <w:b/>
      <w:bCs/>
      <w:kern w:val="0"/>
      <w:sz w:val="32"/>
      <w:szCs w:val="32"/>
    </w:rPr>
  </w:style>
  <w:style w:type="character" w:customStyle="1" w:styleId="90">
    <w:name w:val="正文缩进 Char"/>
    <w:link w:val="12"/>
    <w:qFormat/>
    <w:uiPriority w:val="0"/>
    <w:rPr>
      <w:rFonts w:eastAsia="宋体"/>
      <w:kern w:val="2"/>
      <w:sz w:val="21"/>
      <w:lang w:val="en-US" w:eastAsia="zh-CN" w:bidi="ar-SA"/>
    </w:rPr>
  </w:style>
  <w:style w:type="character" w:customStyle="1" w:styleId="91">
    <w:name w:val="纯文本 Char"/>
    <w:basedOn w:val="47"/>
    <w:link w:val="26"/>
    <w:qFormat/>
    <w:uiPriority w:val="0"/>
    <w:rPr>
      <w:rFonts w:hint="eastAsia" w:ascii="宋体" w:hAnsi="Courier New" w:eastAsia="宋体" w:cs="Times New Roman"/>
      <w:szCs w:val="20"/>
    </w:rPr>
  </w:style>
  <w:style w:type="paragraph" w:customStyle="1" w:styleId="92">
    <w:name w:val="BioQuote Tekst"/>
    <w:basedOn w:val="1"/>
    <w:qFormat/>
    <w:uiPriority w:val="0"/>
    <w:pPr>
      <w:ind w:right="-1"/>
    </w:pPr>
    <w:rPr>
      <w:rFonts w:ascii="Arial" w:hAnsi="Arial"/>
      <w:snapToGrid w:val="0"/>
      <w:kern w:val="0"/>
      <w:sz w:val="22"/>
      <w:szCs w:val="20"/>
      <w:lang w:eastAsia="en-US"/>
    </w:rPr>
  </w:style>
  <w:style w:type="paragraph" w:customStyle="1" w:styleId="93">
    <w:name w:val="Blockquote_0"/>
    <w:basedOn w:val="94"/>
    <w:qFormat/>
    <w:uiPriority w:val="0"/>
    <w:pPr>
      <w:autoSpaceDE w:val="0"/>
      <w:autoSpaceDN w:val="0"/>
      <w:spacing w:before="100" w:after="100"/>
      <w:ind w:left="360" w:right="360"/>
    </w:pPr>
    <w:rPr>
      <w:kern w:val="0"/>
      <w:sz w:val="24"/>
    </w:rPr>
  </w:style>
  <w:style w:type="paragraph" w:customStyle="1" w:styleId="94">
    <w:name w:val="正文_0_0_0"/>
    <w:qFormat/>
    <w:uiPriority w:val="0"/>
    <w:pPr>
      <w:widowControl w:val="0"/>
      <w:autoSpaceDE/>
      <w:autoSpaceDN/>
      <w:snapToGrid/>
      <w:jc w:val="both"/>
    </w:pPr>
    <w:rPr>
      <w:rFonts w:ascii="Calibri" w:hAnsi="Calibri" w:eastAsia="宋体" w:cs="Calibri"/>
      <w:kern w:val="2"/>
      <w:sz w:val="21"/>
      <w:szCs w:val="22"/>
      <w:lang w:val="en-US" w:eastAsia="zh-CN" w:bidi="ar-SA"/>
    </w:rPr>
  </w:style>
  <w:style w:type="character" w:customStyle="1" w:styleId="95">
    <w:name w:val="jj1"/>
    <w:link w:val="1"/>
    <w:qFormat/>
    <w:uiPriority w:val="0"/>
    <w:rPr>
      <w:sz w:val="20"/>
      <w:szCs w:val="20"/>
      <w:u w:val="none"/>
    </w:rPr>
  </w:style>
  <w:style w:type="paragraph" w:customStyle="1" w:styleId="96">
    <w:name w:val="Char Char Char Char"/>
    <w:basedOn w:val="17"/>
    <w:qFormat/>
    <w:uiPriority w:val="0"/>
    <w:pPr>
      <w:spacing w:line="360" w:lineRule="auto"/>
    </w:pPr>
    <w:rPr>
      <w:rFonts w:ascii="Tahoma" w:hAnsi="Tahoma"/>
      <w:sz w:val="24"/>
    </w:rPr>
  </w:style>
  <w:style w:type="paragraph" w:customStyle="1" w:styleId="97">
    <w:name w:val="正文1"/>
    <w:qFormat/>
    <w:uiPriority w:val="0"/>
    <w:pPr>
      <w:autoSpaceDE/>
      <w:autoSpaceDN/>
      <w:snapToGrid/>
    </w:pPr>
    <w:rPr>
      <w:rFonts w:ascii="Calibri" w:hAnsi="Calibri" w:eastAsia="宋体" w:cs="Calibri"/>
      <w:kern w:val="2"/>
      <w:sz w:val="21"/>
      <w:szCs w:val="22"/>
      <w:lang w:val="en-US" w:eastAsia="zh-CN" w:bidi="ar-SA"/>
    </w:rPr>
  </w:style>
  <w:style w:type="paragraph" w:customStyle="1" w:styleId="9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99">
    <w:name w:val="列出段落"/>
    <w:basedOn w:val="1"/>
    <w:qFormat/>
    <w:uiPriority w:val="0"/>
    <w:pPr>
      <w:ind w:firstLine="420" w:firstLineChars="200"/>
    </w:pPr>
    <w:rPr>
      <w:rFonts w:ascii="Calibri" w:hAnsi="Calibri"/>
      <w:szCs w:val="22"/>
    </w:rPr>
  </w:style>
  <w:style w:type="paragraph" w:customStyle="1" w:styleId="100">
    <w:name w:val="Table Paragraph"/>
    <w:basedOn w:val="1"/>
    <w:qFormat/>
    <w:uiPriority w:val="99"/>
    <w:pPr>
      <w:jc w:val="left"/>
    </w:pPr>
    <w:rPr>
      <w:rFonts w:ascii="Calibri" w:hAnsi="Calibri" w:cs="Calibri"/>
      <w:kern w:val="0"/>
      <w:sz w:val="22"/>
      <w:lang w:eastAsia="en-US"/>
    </w:rPr>
  </w:style>
  <w:style w:type="character" w:customStyle="1" w:styleId="101">
    <w:name w:val="标题 2 Char"/>
    <w:link w:val="11"/>
    <w:qFormat/>
    <w:uiPriority w:val="0"/>
    <w:rPr>
      <w:rFonts w:ascii="Cambria" w:hAnsi="Cambria"/>
      <w:b/>
      <w:bCs/>
      <w:kern w:val="2"/>
      <w:sz w:val="32"/>
      <w:szCs w:val="32"/>
    </w:rPr>
  </w:style>
  <w:style w:type="paragraph" w:customStyle="1" w:styleId="102">
    <w:name w:val="标题3"/>
    <w:basedOn w:val="1"/>
    <w:next w:val="1"/>
    <w:qFormat/>
    <w:uiPriority w:val="0"/>
    <w:rPr>
      <w:rFonts w:eastAsia="方正黑体_GBK"/>
    </w:rPr>
  </w:style>
  <w:style w:type="paragraph" w:customStyle="1" w:styleId="103">
    <w:name w:val="Char"/>
    <w:basedOn w:val="1"/>
    <w:qFormat/>
    <w:uiPriority w:val="0"/>
    <w:pPr>
      <w:tabs>
        <w:tab w:val="left" w:pos="360"/>
      </w:tabs>
    </w:pPr>
    <w:rPr>
      <w:sz w:val="24"/>
    </w:rPr>
  </w:style>
  <w:style w:type="paragraph" w:customStyle="1" w:styleId="104">
    <w:name w:val="正文 第一章"/>
    <w:basedOn w:val="1"/>
    <w:next w:val="71"/>
    <w:qFormat/>
    <w:uiPriority w:val="0"/>
    <w:pPr>
      <w:pageBreakBefore/>
      <w:numPr>
        <w:ilvl w:val="0"/>
        <w:numId w:val="2"/>
      </w:numPr>
      <w:spacing w:before="240" w:after="240" w:line="480" w:lineRule="auto"/>
      <w:jc w:val="center"/>
      <w:outlineLvl w:val="0"/>
    </w:pPr>
    <w:rPr>
      <w:rFonts w:ascii="黑体" w:hAnsi="宋体" w:eastAsia="黑体"/>
      <w:kern w:val="0"/>
      <w:sz w:val="36"/>
      <w:szCs w:val="21"/>
    </w:rPr>
  </w:style>
  <w:style w:type="character" w:customStyle="1" w:styleId="105">
    <w:name w:val="批注主题 Char"/>
    <w:link w:val="43"/>
    <w:qFormat/>
    <w:uiPriority w:val="0"/>
    <w:rPr>
      <w:b/>
      <w:bCs/>
      <w:kern w:val="2"/>
      <w:sz w:val="21"/>
      <w:szCs w:val="24"/>
    </w:rPr>
  </w:style>
  <w:style w:type="paragraph" w:customStyle="1" w:styleId="106">
    <w:name w:val=" Char Char Char Char1 Char Char"/>
    <w:basedOn w:val="1"/>
    <w:qFormat/>
    <w:uiPriority w:val="0"/>
    <w:pPr>
      <w:tabs>
        <w:tab w:val="left" w:pos="360"/>
      </w:tabs>
    </w:pPr>
    <w:rPr>
      <w:sz w:val="24"/>
    </w:rPr>
  </w:style>
  <w:style w:type="paragraph" w:customStyle="1" w:styleId="107">
    <w:name w:val=" Char"/>
    <w:basedOn w:val="1"/>
    <w:qFormat/>
    <w:uiPriority w:val="0"/>
    <w:rPr>
      <w:rFonts w:ascii="Tahoma" w:hAnsi="Tahoma"/>
      <w:snapToGrid w:val="0"/>
      <w:sz w:val="24"/>
      <w:szCs w:val="20"/>
    </w:rPr>
  </w:style>
  <w:style w:type="character" w:customStyle="1" w:styleId="108">
    <w:name w:val="标题2 Char"/>
    <w:link w:val="1"/>
    <w:qFormat/>
    <w:uiPriority w:val="0"/>
    <w:rPr>
      <w:rFonts w:ascii="方正楷体_GBK" w:hAnsi="Book Antiqua" w:eastAsia="方正楷体_GBK"/>
      <w:snapToGrid w:val="0"/>
      <w:sz w:val="32"/>
      <w:lang w:val="en-US" w:eastAsia="zh-CN" w:bidi="ar-SA"/>
    </w:rPr>
  </w:style>
  <w:style w:type="paragraph" w:customStyle="1" w:styleId="109">
    <w:name w:val="标书正文格式"/>
    <w:qFormat/>
    <w:uiPriority w:val="0"/>
    <w:pPr>
      <w:autoSpaceDE/>
      <w:autoSpaceDN/>
      <w:snapToGrid/>
      <w:spacing w:line="360" w:lineRule="auto"/>
      <w:ind w:firstLine="200" w:firstLineChars="200"/>
    </w:pPr>
    <w:rPr>
      <w:rFonts w:ascii="Calibri" w:hAnsi="Calibri" w:eastAsia="楷体_GB2312" w:cs="Calibri"/>
      <w:kern w:val="2"/>
      <w:sz w:val="24"/>
      <w:szCs w:val="24"/>
      <w:lang w:val="en-US" w:eastAsia="zh-CN" w:bidi="ar-SA"/>
    </w:rPr>
  </w:style>
  <w:style w:type="character" w:customStyle="1" w:styleId="110">
    <w:name w:val="标题 1 Char"/>
    <w:link w:val="10"/>
    <w:qFormat/>
    <w:uiPriority w:val="0"/>
    <w:rPr>
      <w:rFonts w:ascii="楷体_GB2312" w:eastAsia="楷体_GB2312"/>
      <w:kern w:val="2"/>
      <w:sz w:val="28"/>
      <w:lang w:val="en-US" w:eastAsia="zh-CN" w:bidi="ar-SA"/>
    </w:rPr>
  </w:style>
  <w:style w:type="paragraph" w:customStyle="1" w:styleId="111">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112">
    <w:name w:val="正文_1_0"/>
    <w:qFormat/>
    <w:uiPriority w:val="0"/>
    <w:pPr>
      <w:autoSpaceDE/>
      <w:autoSpaceDN/>
      <w:snapToGrid/>
    </w:pPr>
    <w:rPr>
      <w:rFonts w:ascii="Calibri" w:hAnsi="Calibri" w:eastAsia="宋体" w:cs="Calibri"/>
      <w:kern w:val="2"/>
      <w:sz w:val="21"/>
      <w:szCs w:val="22"/>
      <w:lang w:val="en-US" w:eastAsia="zh-CN" w:bidi="ar-SA"/>
    </w:rPr>
  </w:style>
  <w:style w:type="character" w:customStyle="1" w:styleId="113">
    <w:name w:val="fontstyle01"/>
    <w:link w:val="1"/>
    <w:qFormat/>
    <w:uiPriority w:val="0"/>
    <w:rPr>
      <w:rFonts w:hint="eastAsia" w:ascii="宋体" w:hAnsi="宋体" w:eastAsia="宋体"/>
      <w:color w:val="000000"/>
      <w:sz w:val="22"/>
      <w:szCs w:val="22"/>
    </w:rPr>
  </w:style>
  <w:style w:type="paragraph" w:customStyle="1" w:styleId="114">
    <w:name w:val="标题2"/>
    <w:basedOn w:val="1"/>
    <w:next w:val="1"/>
    <w:qFormat/>
    <w:uiPriority w:val="0"/>
    <w:pPr>
      <w:jc w:val="center"/>
    </w:pPr>
    <w:rPr>
      <w:rFonts w:eastAsia="方正楷体_GBK"/>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101" textRotate="1"/>
    <customShpInfo spid="_x0000_s4097"/>
    <customShpInfo spid="_x0000_s4102" textRotate="1"/>
    <customShpInfo spid="_x0000_s4099"/>
    <customShpInfo spid="_x0000_s4103"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21040</Words>
  <Characters>22017</Characters>
  <TotalTime>8</TotalTime>
  <ScaleCrop>false</ScaleCrop>
  <LinksUpToDate>false</LinksUpToDate>
  <CharactersWithSpaces>22733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2025-05-14T16:36:00Z</dcterms:created>
  <dc:creator>Administrator</dc:creator>
  <cp:lastModifiedBy>米饭</cp:lastModifiedBy>
  <dcterms:modified xsi:type="dcterms:W3CDTF">2025-05-14T09:38:12Z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eyJoZGlkIjoiMTI2M2MxNDU4YTMxMGUyMmY3ZDBiMWY0OTQwOGVkMDYiLCJ1c2VySWQiOiI0MDkxMTEwNTgifQ==</vt:lpwstr>
  </property>
  <property fmtid="{D5CDD505-2E9C-101B-9397-08002B2CF9AE}" pid="3" name="KSOProductBuildVer">
    <vt:lpwstr>2052-12.1.0.20784</vt:lpwstr>
  </property>
  <property fmtid="{D5CDD505-2E9C-101B-9397-08002B2CF9AE}" pid="4" name="ICV">
    <vt:lpwstr>E38F44DE48994E2DAF4F23EC220B0573_12</vt:lpwstr>
  </property>
</Properties>
</file>